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F3D" w:rsidRPr="00F07F3D" w:rsidRDefault="00F07F3D" w:rsidP="00180BE7">
      <w:pPr>
        <w:pStyle w:val="StandardWeb"/>
        <w:spacing w:after="0" w:afterAutospacing="0"/>
        <w:rPr>
          <w:rFonts w:ascii="Segoe UI" w:hAnsi="Segoe UI" w:cs="Segoe UI"/>
          <w:b/>
          <w:sz w:val="20"/>
          <w:szCs w:val="20"/>
        </w:rPr>
      </w:pPr>
      <w:bookmarkStart w:id="0" w:name="_GoBack"/>
      <w:bookmarkEnd w:id="0"/>
      <w:r w:rsidRPr="00F07F3D">
        <w:rPr>
          <w:rFonts w:ascii="Segoe UI" w:hAnsi="Segoe UI" w:cs="Segoe UI"/>
          <w:b/>
          <w:sz w:val="20"/>
          <w:szCs w:val="20"/>
        </w:rPr>
        <w:t>Inf</w:t>
      </w:r>
      <w:r w:rsidR="000C0F04">
        <w:rPr>
          <w:rFonts w:ascii="Segoe UI" w:hAnsi="Segoe UI" w:cs="Segoe UI"/>
          <w:b/>
          <w:sz w:val="20"/>
          <w:szCs w:val="20"/>
        </w:rPr>
        <w:t xml:space="preserve">osammlung zu Tryptophan und </w:t>
      </w:r>
      <w:proofErr w:type="spellStart"/>
      <w:r w:rsidR="000C0F04">
        <w:rPr>
          <w:rFonts w:ascii="Segoe UI" w:hAnsi="Segoe UI" w:cs="Segoe UI"/>
          <w:b/>
          <w:sz w:val="20"/>
          <w:szCs w:val="20"/>
        </w:rPr>
        <w:t>Citr</w:t>
      </w:r>
      <w:r w:rsidRPr="00F07F3D">
        <w:rPr>
          <w:rFonts w:ascii="Segoe UI" w:hAnsi="Segoe UI" w:cs="Segoe UI"/>
          <w:b/>
          <w:sz w:val="20"/>
          <w:szCs w:val="20"/>
        </w:rPr>
        <w:t>atzyklus</w:t>
      </w:r>
      <w:proofErr w:type="spellEnd"/>
      <w:r w:rsidR="000C0F04">
        <w:rPr>
          <w:rFonts w:ascii="Segoe UI" w:hAnsi="Segoe UI" w:cs="Segoe UI"/>
          <w:b/>
          <w:sz w:val="20"/>
          <w:szCs w:val="20"/>
        </w:rPr>
        <w:t xml:space="preserve"> und FC-Biomarkern</w:t>
      </w:r>
      <w:r w:rsidRPr="00F07F3D">
        <w:rPr>
          <w:rFonts w:ascii="Segoe UI" w:hAnsi="Segoe UI" w:cs="Segoe UI"/>
          <w:b/>
          <w:sz w:val="20"/>
          <w:szCs w:val="20"/>
        </w:rPr>
        <w:t xml:space="preserve"> aus Recherchen und Mailverläufen:</w:t>
      </w:r>
    </w:p>
    <w:p w:rsidR="00F07F3D" w:rsidRDefault="00F07F3D" w:rsidP="00180BE7">
      <w:pPr>
        <w:pStyle w:val="StandardWeb"/>
        <w:spacing w:after="0" w:afterAutospacing="0"/>
        <w:rPr>
          <w:rFonts w:ascii="Segoe UI" w:hAnsi="Segoe UI" w:cs="Segoe UI"/>
          <w:sz w:val="20"/>
          <w:szCs w:val="20"/>
        </w:rPr>
      </w:pPr>
    </w:p>
    <w:p w:rsidR="00180BE7" w:rsidRDefault="00180BE7" w:rsidP="00180BE7">
      <w:pPr>
        <w:pStyle w:val="StandardWeb"/>
        <w:spacing w:after="0" w:afterAutospacing="0"/>
        <w:rPr>
          <w:rFonts w:ascii="Verdana" w:hAnsi="Verdana"/>
          <w:sz w:val="18"/>
          <w:szCs w:val="18"/>
        </w:rPr>
      </w:pPr>
      <w:r>
        <w:rPr>
          <w:rFonts w:ascii="Segoe UI" w:hAnsi="Segoe UI" w:cs="Segoe UI"/>
          <w:sz w:val="20"/>
          <w:szCs w:val="20"/>
        </w:rPr>
        <w:t>Hallo Herr,</w:t>
      </w:r>
    </w:p>
    <w:p w:rsidR="00207FFC" w:rsidRDefault="00180BE7" w:rsidP="00207FFC">
      <w:pPr>
        <w:pStyle w:val="StandardWeb"/>
        <w:spacing w:after="0" w:afterAutospacing="0"/>
        <w:rPr>
          <w:rFonts w:ascii="Segoe UI" w:hAnsi="Segoe UI" w:cs="Segoe UI"/>
          <w:sz w:val="20"/>
          <w:szCs w:val="20"/>
        </w:rPr>
      </w:pPr>
      <w:r>
        <w:rPr>
          <w:rFonts w:ascii="Segoe UI" w:hAnsi="Segoe UI" w:cs="Segoe UI"/>
          <w:sz w:val="20"/>
          <w:szCs w:val="20"/>
        </w:rPr>
        <w:t xml:space="preserve">da Sie mir die Daten geschickt haben, antworte ich Ihnen. </w:t>
      </w:r>
    </w:p>
    <w:p w:rsidR="00207FFC" w:rsidRDefault="00207FFC" w:rsidP="00207FFC">
      <w:pPr>
        <w:pStyle w:val="StandardWeb"/>
        <w:spacing w:after="0" w:afterAutospacing="0"/>
        <w:rPr>
          <w:rFonts w:ascii="Segoe UI" w:hAnsi="Segoe UI" w:cs="Segoe UI"/>
          <w:sz w:val="20"/>
          <w:szCs w:val="20"/>
        </w:rPr>
      </w:pPr>
    </w:p>
    <w:p w:rsidR="00207FFC" w:rsidRPr="00B1779F" w:rsidRDefault="00207FFC" w:rsidP="00207FFC">
      <w:pPr>
        <w:spacing w:after="0" w:line="240" w:lineRule="auto"/>
        <w:rPr>
          <w:rFonts w:ascii="Verdana" w:eastAsia="Times New Roman" w:hAnsi="Verdana" w:cs="Times New Roman"/>
          <w:sz w:val="18"/>
          <w:szCs w:val="18"/>
          <w:lang w:eastAsia="de-DE"/>
        </w:rPr>
      </w:pPr>
      <w:r w:rsidRPr="00B1779F">
        <w:rPr>
          <w:rFonts w:ascii="Verdana" w:eastAsia="Times New Roman" w:hAnsi="Verdana" w:cs="Times New Roman"/>
          <w:sz w:val="18"/>
          <w:szCs w:val="18"/>
          <w:lang w:eastAsia="de-DE"/>
        </w:rPr>
        <w:t>"Was mir als Laie an diesem Prozess-Bild eindeutig auffällt, ist das Serotonin und Melatonin auch in dieser Wirkungskette hängen."</w:t>
      </w:r>
    </w:p>
    <w:p w:rsidR="00207FFC" w:rsidRPr="00B1779F" w:rsidRDefault="00207FFC" w:rsidP="00207FFC">
      <w:pPr>
        <w:spacing w:after="0" w:line="240" w:lineRule="auto"/>
        <w:rPr>
          <w:rFonts w:ascii="Verdana" w:eastAsia="Times New Roman" w:hAnsi="Verdana" w:cs="Times New Roman"/>
          <w:sz w:val="18"/>
          <w:szCs w:val="18"/>
          <w:lang w:eastAsia="de-DE"/>
        </w:rPr>
      </w:pPr>
    </w:p>
    <w:p w:rsidR="00207FFC" w:rsidRPr="00B1779F" w:rsidRDefault="00207FFC" w:rsidP="00207FFC">
      <w:pPr>
        <w:spacing w:after="0" w:line="240" w:lineRule="auto"/>
        <w:rPr>
          <w:rFonts w:ascii="Verdana" w:eastAsia="Times New Roman" w:hAnsi="Verdana" w:cs="Times New Roman"/>
          <w:sz w:val="18"/>
          <w:szCs w:val="18"/>
          <w:lang w:eastAsia="de-DE"/>
        </w:rPr>
      </w:pPr>
      <w:r w:rsidRPr="00B1779F">
        <w:rPr>
          <w:rFonts w:ascii="Verdana" w:eastAsia="Times New Roman" w:hAnsi="Verdana" w:cs="Times New Roman"/>
          <w:sz w:val="18"/>
          <w:szCs w:val="18"/>
          <w:lang w:eastAsia="de-DE"/>
        </w:rPr>
        <w:t>So ist es leider. Wenn wir mal die einzelnen Syntheseschritte weglassen, haben wir eine ganz einfache Wirkungskette:</w:t>
      </w:r>
    </w:p>
    <w:p w:rsidR="00207FFC" w:rsidRPr="00B1779F" w:rsidRDefault="00207FFC" w:rsidP="00207FFC">
      <w:pPr>
        <w:spacing w:after="0" w:line="240" w:lineRule="auto"/>
        <w:rPr>
          <w:rFonts w:ascii="Verdana" w:eastAsia="Times New Roman" w:hAnsi="Verdana" w:cs="Times New Roman"/>
          <w:sz w:val="18"/>
          <w:szCs w:val="18"/>
          <w:lang w:eastAsia="de-DE"/>
        </w:rPr>
      </w:pPr>
    </w:p>
    <w:p w:rsidR="00207FFC" w:rsidRPr="00B1779F" w:rsidRDefault="00207FFC" w:rsidP="00207FFC">
      <w:pPr>
        <w:spacing w:after="0" w:line="240" w:lineRule="auto"/>
        <w:rPr>
          <w:rFonts w:ascii="Verdana" w:eastAsia="Times New Roman" w:hAnsi="Verdana" w:cs="Times New Roman"/>
          <w:sz w:val="18"/>
          <w:szCs w:val="18"/>
          <w:lang w:eastAsia="de-DE"/>
        </w:rPr>
      </w:pPr>
      <w:r>
        <w:rPr>
          <w:rFonts w:ascii="Verdana" w:eastAsia="Times New Roman" w:hAnsi="Verdana" w:cs="Times New Roman"/>
          <w:noProof/>
          <w:sz w:val="18"/>
          <w:szCs w:val="18"/>
          <w:lang w:eastAsia="de-DE"/>
        </w:rPr>
        <w:drawing>
          <wp:inline distT="0" distB="0" distL="0" distR="0" wp14:anchorId="603D94A5" wp14:editId="357C6498">
            <wp:extent cx="3028950" cy="2524125"/>
            <wp:effectExtent l="0" t="0" r="0" b="9525"/>
            <wp:docPr id="3" name="Grafik 3" descr="Inlin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lin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2524125"/>
                    </a:xfrm>
                    <a:prstGeom prst="rect">
                      <a:avLst/>
                    </a:prstGeom>
                    <a:noFill/>
                    <a:ln>
                      <a:noFill/>
                    </a:ln>
                  </pic:spPr>
                </pic:pic>
              </a:graphicData>
            </a:graphic>
          </wp:inline>
        </w:drawing>
      </w:r>
      <w:r w:rsidRPr="00B1779F">
        <w:rPr>
          <w:rFonts w:ascii="Verdana" w:eastAsia="Times New Roman" w:hAnsi="Verdana" w:cs="Times New Roman"/>
          <w:sz w:val="18"/>
          <w:szCs w:val="18"/>
          <w:lang w:eastAsia="de-DE"/>
        </w:rPr>
        <w:t> </w:t>
      </w:r>
    </w:p>
    <w:p w:rsidR="00207FFC" w:rsidRPr="00B1779F" w:rsidRDefault="00207FFC" w:rsidP="00207FFC">
      <w:pPr>
        <w:spacing w:after="0" w:line="240" w:lineRule="auto"/>
        <w:rPr>
          <w:rFonts w:ascii="Verdana" w:eastAsia="Times New Roman" w:hAnsi="Verdana" w:cs="Times New Roman"/>
          <w:sz w:val="18"/>
          <w:szCs w:val="18"/>
          <w:lang w:eastAsia="de-DE"/>
        </w:rPr>
      </w:pPr>
    </w:p>
    <w:p w:rsidR="00207FFC" w:rsidRPr="00B1779F" w:rsidRDefault="00207FFC" w:rsidP="00207FFC">
      <w:pPr>
        <w:spacing w:after="0" w:line="240" w:lineRule="auto"/>
        <w:rPr>
          <w:rFonts w:ascii="Verdana" w:eastAsia="Times New Roman" w:hAnsi="Verdana" w:cs="Times New Roman"/>
          <w:sz w:val="18"/>
          <w:szCs w:val="18"/>
          <w:lang w:eastAsia="de-DE"/>
        </w:rPr>
      </w:pPr>
      <w:r w:rsidRPr="00B1779F">
        <w:rPr>
          <w:rFonts w:ascii="Verdana" w:eastAsia="Times New Roman" w:hAnsi="Verdana" w:cs="Times New Roman"/>
          <w:sz w:val="18"/>
          <w:szCs w:val="18"/>
          <w:lang w:eastAsia="de-DE"/>
        </w:rPr>
        <w:t xml:space="preserve">Die Schlafstörungen beruhen mit sehr hoher Wahrscheinlichkeit auf einer Störung der </w:t>
      </w:r>
      <w:proofErr w:type="spellStart"/>
      <w:r w:rsidRPr="00B1779F">
        <w:rPr>
          <w:rFonts w:ascii="Verdana" w:eastAsia="Times New Roman" w:hAnsi="Verdana" w:cs="Times New Roman"/>
          <w:sz w:val="18"/>
          <w:szCs w:val="18"/>
          <w:lang w:eastAsia="de-DE"/>
        </w:rPr>
        <w:t>Melatoninsynthese</w:t>
      </w:r>
      <w:proofErr w:type="spellEnd"/>
      <w:r w:rsidRPr="00B1779F">
        <w:rPr>
          <w:rFonts w:ascii="Verdana" w:eastAsia="Times New Roman" w:hAnsi="Verdana" w:cs="Times New Roman"/>
          <w:sz w:val="18"/>
          <w:szCs w:val="18"/>
          <w:lang w:eastAsia="de-DE"/>
        </w:rPr>
        <w:t>, wohingegen eine Störung der Serotoninsynthese nicht nur mit Depressionen, sondern unzähligen systemischen Wirkungen verbunden sein kann (</w:t>
      </w:r>
      <w:hyperlink r:id="rId9" w:tgtFrame="_blank" w:history="1">
        <w:r w:rsidRPr="00B1779F">
          <w:rPr>
            <w:rFonts w:ascii="Verdana" w:eastAsia="Times New Roman" w:hAnsi="Verdana" w:cs="Times New Roman"/>
            <w:color w:val="0000FF"/>
            <w:sz w:val="18"/>
            <w:szCs w:val="18"/>
            <w:u w:val="single"/>
            <w:lang w:eastAsia="de-DE"/>
          </w:rPr>
          <w:t>https://de.wikipedia.org/wiki/Serotonin#Funktionen</w:t>
        </w:r>
      </w:hyperlink>
      <w:r w:rsidRPr="00B1779F">
        <w:rPr>
          <w:rFonts w:ascii="Verdana" w:eastAsia="Times New Roman" w:hAnsi="Verdana" w:cs="Times New Roman"/>
          <w:sz w:val="18"/>
          <w:szCs w:val="18"/>
          <w:lang w:eastAsia="de-DE"/>
        </w:rPr>
        <w:t>). Ich habe in meinem letzten Beitrag nicht umsonst auf die Gefahr eines FQ-induzierten Serotoninsyndroms hingewiesen (</w:t>
      </w:r>
      <w:hyperlink r:id="rId10" w:tgtFrame="_blank" w:history="1">
        <w:r w:rsidRPr="00B1779F">
          <w:rPr>
            <w:rFonts w:ascii="Verdana" w:eastAsia="Times New Roman" w:hAnsi="Verdana" w:cs="Times New Roman"/>
            <w:color w:val="0000FF"/>
            <w:sz w:val="18"/>
            <w:szCs w:val="18"/>
            <w:u w:val="single"/>
            <w:lang w:eastAsia="de-DE"/>
          </w:rPr>
          <w:t>https://de.wikipedia.org/wiki/Serotoninsyndrom</w:t>
        </w:r>
      </w:hyperlink>
      <w:r w:rsidRPr="00B1779F">
        <w:rPr>
          <w:rFonts w:ascii="Verdana" w:eastAsia="Times New Roman" w:hAnsi="Verdana" w:cs="Times New Roman"/>
          <w:sz w:val="18"/>
          <w:szCs w:val="18"/>
          <w:lang w:eastAsia="de-DE"/>
        </w:rPr>
        <w:t>). Schwere Depressionen, harte Suizide (die sich unter FQs höchstwahrscheinlich ereignet haben) sowie Amokläufe sind primär mit erniedrigten 5-HIAA-Spiegeln assoziiert (</w:t>
      </w:r>
      <w:hyperlink r:id="rId11" w:tgtFrame="_blank" w:history="1">
        <w:r w:rsidRPr="00B1779F">
          <w:rPr>
            <w:rFonts w:ascii="Verdana" w:eastAsia="Times New Roman" w:hAnsi="Verdana" w:cs="Times New Roman"/>
            <w:color w:val="0000FF"/>
            <w:sz w:val="18"/>
            <w:szCs w:val="18"/>
            <w:u w:val="single"/>
            <w:lang w:eastAsia="de-DE"/>
          </w:rPr>
          <w:t>https://de.wikipedia.org/wiki/5-Hydroxyindolylessigs%C3%A4ure#Biologische_Bedeutung</w:t>
        </w:r>
      </w:hyperlink>
      <w:r w:rsidRPr="00B1779F">
        <w:rPr>
          <w:rFonts w:ascii="Verdana" w:eastAsia="Times New Roman" w:hAnsi="Verdana" w:cs="Times New Roman"/>
          <w:sz w:val="18"/>
          <w:szCs w:val="18"/>
          <w:lang w:eastAsia="de-DE"/>
        </w:rPr>
        <w:t>).</w:t>
      </w:r>
    </w:p>
    <w:p w:rsidR="00207FFC" w:rsidRDefault="00207FFC" w:rsidP="00207FFC">
      <w:pPr>
        <w:pStyle w:val="StandardWeb"/>
        <w:spacing w:after="0" w:afterAutospacing="0"/>
        <w:rPr>
          <w:rFonts w:ascii="Segoe UI" w:hAnsi="Segoe UI" w:cs="Segoe UI"/>
          <w:sz w:val="20"/>
          <w:szCs w:val="20"/>
        </w:rPr>
      </w:pPr>
    </w:p>
    <w:p w:rsidR="00207FFC" w:rsidRDefault="00180BE7" w:rsidP="00180BE7">
      <w:pPr>
        <w:pStyle w:val="StandardWeb"/>
        <w:spacing w:after="0" w:afterAutospacing="0"/>
        <w:rPr>
          <w:rFonts w:ascii="Segoe UI" w:hAnsi="Segoe UI" w:cs="Segoe UI"/>
          <w:sz w:val="20"/>
          <w:szCs w:val="20"/>
        </w:rPr>
      </w:pPr>
      <w:r>
        <w:rPr>
          <w:rFonts w:ascii="Segoe UI" w:hAnsi="Segoe UI" w:cs="Segoe UI"/>
          <w:sz w:val="20"/>
          <w:szCs w:val="20"/>
        </w:rPr>
        <w:t xml:space="preserve">Es dürfte natürlich auch für Sie von Interesse sein, dass wir nun doch beim </w:t>
      </w:r>
      <w:proofErr w:type="spellStart"/>
      <w:r>
        <w:rPr>
          <w:rFonts w:ascii="Segoe UI" w:hAnsi="Segoe UI" w:cs="Segoe UI"/>
          <w:sz w:val="20"/>
          <w:szCs w:val="20"/>
        </w:rPr>
        <w:t>Tryptophanstoffwechsel</w:t>
      </w:r>
      <w:proofErr w:type="spellEnd"/>
      <w:r>
        <w:rPr>
          <w:rFonts w:ascii="Segoe UI" w:hAnsi="Segoe UI" w:cs="Segoe UI"/>
          <w:sz w:val="20"/>
          <w:szCs w:val="20"/>
        </w:rPr>
        <w:t xml:space="preserve"> angekommen sind. Ein harter Brocken! Wenn ich Ihnen sage, dass Tryptophan mit dem </w:t>
      </w:r>
      <w:proofErr w:type="spellStart"/>
      <w:r>
        <w:rPr>
          <w:rFonts w:ascii="Segoe UI" w:hAnsi="Segoe UI" w:cs="Segoe UI"/>
          <w:sz w:val="20"/>
          <w:szCs w:val="20"/>
        </w:rPr>
        <w:t>toxic</w:t>
      </w:r>
      <w:proofErr w:type="spellEnd"/>
      <w:r>
        <w:rPr>
          <w:rFonts w:ascii="Segoe UI" w:hAnsi="Segoe UI" w:cs="Segoe UI"/>
          <w:sz w:val="20"/>
          <w:szCs w:val="20"/>
        </w:rPr>
        <w:t xml:space="preserve"> </w:t>
      </w:r>
      <w:proofErr w:type="spellStart"/>
      <w:r>
        <w:rPr>
          <w:rFonts w:ascii="Segoe UI" w:hAnsi="Segoe UI" w:cs="Segoe UI"/>
          <w:sz w:val="20"/>
          <w:szCs w:val="20"/>
        </w:rPr>
        <w:t>oil</w:t>
      </w:r>
      <w:proofErr w:type="spellEnd"/>
      <w:r>
        <w:rPr>
          <w:rFonts w:ascii="Segoe UI" w:hAnsi="Segoe UI" w:cs="Segoe UI"/>
          <w:sz w:val="20"/>
          <w:szCs w:val="20"/>
        </w:rPr>
        <w:t xml:space="preserve"> </w:t>
      </w:r>
      <w:proofErr w:type="spellStart"/>
      <w:r>
        <w:rPr>
          <w:rFonts w:ascii="Segoe UI" w:hAnsi="Segoe UI" w:cs="Segoe UI"/>
          <w:sz w:val="20"/>
          <w:szCs w:val="20"/>
        </w:rPr>
        <w:t>syndrome</w:t>
      </w:r>
      <w:proofErr w:type="spellEnd"/>
      <w:r>
        <w:rPr>
          <w:rFonts w:ascii="Segoe UI" w:hAnsi="Segoe UI" w:cs="Segoe UI"/>
          <w:sz w:val="20"/>
          <w:szCs w:val="20"/>
        </w:rPr>
        <w:t xml:space="preserve"> und dem </w:t>
      </w:r>
      <w:proofErr w:type="spellStart"/>
      <w:r>
        <w:rPr>
          <w:rFonts w:ascii="Segoe UI" w:hAnsi="Segoe UI" w:cs="Segoe UI"/>
          <w:sz w:val="20"/>
          <w:szCs w:val="20"/>
        </w:rPr>
        <w:t>Eosinophilie</w:t>
      </w:r>
      <w:proofErr w:type="spellEnd"/>
      <w:r>
        <w:rPr>
          <w:rFonts w:ascii="Segoe UI" w:hAnsi="Segoe UI" w:cs="Segoe UI"/>
          <w:sz w:val="20"/>
          <w:szCs w:val="20"/>
        </w:rPr>
        <w:t xml:space="preserve">-Myalgie-Syndrom assoziiert ist, jedoch zugleich als essentielle Aminosäure fungiert, ohne deren Zwischen- und Endprodukte (einschließlich </w:t>
      </w:r>
      <w:proofErr w:type="spellStart"/>
      <w:r>
        <w:rPr>
          <w:rFonts w:ascii="Segoe UI" w:hAnsi="Segoe UI" w:cs="Segoe UI"/>
          <w:sz w:val="20"/>
          <w:szCs w:val="20"/>
        </w:rPr>
        <w:t>Chinolinsäure</w:t>
      </w:r>
      <w:proofErr w:type="spellEnd"/>
      <w:r>
        <w:rPr>
          <w:rFonts w:ascii="Segoe UI" w:hAnsi="Segoe UI" w:cs="Segoe UI"/>
          <w:sz w:val="20"/>
          <w:szCs w:val="20"/>
        </w:rPr>
        <w:t xml:space="preserve">) der menschliche Organismus reif wäre für den Holzpyjama, dann werden Sie vielleicht (zurecht) verwirrt reagieren. </w:t>
      </w:r>
    </w:p>
    <w:p w:rsidR="00180BE7" w:rsidRDefault="00180BE7" w:rsidP="00180BE7">
      <w:pPr>
        <w:pStyle w:val="StandardWeb"/>
        <w:spacing w:after="0" w:afterAutospacing="0"/>
        <w:rPr>
          <w:rFonts w:ascii="Verdana" w:hAnsi="Verdana"/>
          <w:sz w:val="18"/>
          <w:szCs w:val="18"/>
        </w:rPr>
      </w:pPr>
      <w:r>
        <w:rPr>
          <w:rFonts w:ascii="Segoe UI" w:hAnsi="Segoe UI" w:cs="Segoe UI"/>
          <w:sz w:val="20"/>
          <w:szCs w:val="20"/>
        </w:rPr>
        <w:t xml:space="preserve">Ich gehe i. F. nicht auf 5-Fluortryptophan ein und weise stattdessen auf folgendes Detail hin: manche Gifte können massiv in wesentliche Schaltstellen spezifischer Stoffwechselwege eingreifen, indem sie deren Enzyme oder Transkriptionsfaktoren blockieren, genetisch verändern etc. Der </w:t>
      </w:r>
      <w:proofErr w:type="spellStart"/>
      <w:r>
        <w:rPr>
          <w:rFonts w:ascii="Segoe UI" w:hAnsi="Segoe UI" w:cs="Segoe UI"/>
          <w:sz w:val="20"/>
          <w:szCs w:val="20"/>
        </w:rPr>
        <w:t>Kynureninstoffwechsel</w:t>
      </w:r>
      <w:proofErr w:type="spellEnd"/>
      <w:r>
        <w:rPr>
          <w:rFonts w:ascii="Segoe UI" w:hAnsi="Segoe UI" w:cs="Segoe UI"/>
          <w:sz w:val="20"/>
          <w:szCs w:val="20"/>
        </w:rPr>
        <w:t xml:space="preserve"> ist </w:t>
      </w:r>
      <w:r>
        <w:rPr>
          <w:rFonts w:ascii="Segoe UI" w:hAnsi="Segoe UI" w:cs="Segoe UI"/>
          <w:sz w:val="20"/>
          <w:szCs w:val="20"/>
        </w:rPr>
        <w:lastRenderedPageBreak/>
        <w:t xml:space="preserve">der </w:t>
      </w:r>
      <w:proofErr w:type="spellStart"/>
      <w:r>
        <w:rPr>
          <w:rFonts w:ascii="Segoe UI" w:hAnsi="Segoe UI" w:cs="Segoe UI"/>
          <w:sz w:val="20"/>
          <w:szCs w:val="20"/>
        </w:rPr>
        <w:t>Hauptaubbauweg</w:t>
      </w:r>
      <w:proofErr w:type="spellEnd"/>
      <w:r>
        <w:rPr>
          <w:rFonts w:ascii="Segoe UI" w:hAnsi="Segoe UI" w:cs="Segoe UI"/>
          <w:sz w:val="20"/>
          <w:szCs w:val="20"/>
        </w:rPr>
        <w:t xml:space="preserve"> des </w:t>
      </w:r>
      <w:proofErr w:type="spellStart"/>
      <w:r>
        <w:rPr>
          <w:rFonts w:ascii="Segoe UI" w:hAnsi="Segoe UI" w:cs="Segoe UI"/>
          <w:sz w:val="20"/>
          <w:szCs w:val="20"/>
        </w:rPr>
        <w:t>Tryptophanstoffwechsels</w:t>
      </w:r>
      <w:proofErr w:type="spellEnd"/>
      <w:r>
        <w:rPr>
          <w:rFonts w:ascii="Segoe UI" w:hAnsi="Segoe UI" w:cs="Segoe UI"/>
          <w:sz w:val="20"/>
          <w:szCs w:val="20"/>
        </w:rPr>
        <w:t xml:space="preserve">, dessen </w:t>
      </w:r>
      <w:proofErr w:type="spellStart"/>
      <w:r>
        <w:rPr>
          <w:rFonts w:ascii="Segoe UI" w:hAnsi="Segoe UI" w:cs="Segoe UI"/>
          <w:sz w:val="20"/>
          <w:szCs w:val="20"/>
        </w:rPr>
        <w:t>lebenwichtiges</w:t>
      </w:r>
      <w:proofErr w:type="spellEnd"/>
      <w:r>
        <w:rPr>
          <w:rFonts w:ascii="Segoe UI" w:hAnsi="Segoe UI" w:cs="Segoe UI"/>
          <w:sz w:val="20"/>
          <w:szCs w:val="20"/>
        </w:rPr>
        <w:t xml:space="preserve"> Endprodukt NAD durch enzymatischen Abbau des Tryptophan-</w:t>
      </w:r>
      <w:proofErr w:type="spellStart"/>
      <w:r>
        <w:rPr>
          <w:rFonts w:ascii="Segoe UI" w:hAnsi="Segoe UI" w:cs="Segoe UI"/>
          <w:sz w:val="20"/>
          <w:szCs w:val="20"/>
        </w:rPr>
        <w:t>Intermediats</w:t>
      </w:r>
      <w:proofErr w:type="spellEnd"/>
      <w:r>
        <w:rPr>
          <w:rFonts w:ascii="Segoe UI" w:hAnsi="Segoe UI" w:cs="Segoe UI"/>
          <w:sz w:val="20"/>
          <w:szCs w:val="20"/>
        </w:rPr>
        <w:t xml:space="preserve"> </w:t>
      </w:r>
      <w:proofErr w:type="spellStart"/>
      <w:r>
        <w:rPr>
          <w:rFonts w:ascii="Segoe UI" w:hAnsi="Segoe UI" w:cs="Segoe UI"/>
          <w:sz w:val="20"/>
          <w:szCs w:val="20"/>
        </w:rPr>
        <w:t>Chinolinsäure</w:t>
      </w:r>
      <w:proofErr w:type="spellEnd"/>
      <w:r>
        <w:rPr>
          <w:rFonts w:ascii="Segoe UI" w:hAnsi="Segoe UI" w:cs="Segoe UI"/>
          <w:sz w:val="20"/>
          <w:szCs w:val="20"/>
        </w:rPr>
        <w:t xml:space="preserve"> gebildet wird:</w:t>
      </w:r>
    </w:p>
    <w:p w:rsidR="00180BE7" w:rsidRDefault="00180BE7" w:rsidP="00180BE7">
      <w:pPr>
        <w:pStyle w:val="StandardWeb"/>
        <w:spacing w:after="0" w:afterAutospacing="0"/>
        <w:rPr>
          <w:rFonts w:ascii="Verdana" w:hAnsi="Verdana"/>
          <w:sz w:val="18"/>
          <w:szCs w:val="18"/>
        </w:rPr>
      </w:pPr>
      <w:r>
        <w:rPr>
          <w:rFonts w:ascii="Segoe UI" w:hAnsi="Segoe UI" w:cs="Segoe UI"/>
          <w:noProof/>
          <w:sz w:val="18"/>
          <w:szCs w:val="18"/>
        </w:rPr>
        <w:drawing>
          <wp:inline distT="0" distB="0" distL="0" distR="0">
            <wp:extent cx="4152900" cy="4591050"/>
            <wp:effectExtent l="0" t="0" r="0" b="0"/>
            <wp:docPr id="6" name="Grafik 6" descr="Inlin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line-Bild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4591050"/>
                    </a:xfrm>
                    <a:prstGeom prst="rect">
                      <a:avLst/>
                    </a:prstGeom>
                    <a:noFill/>
                    <a:ln>
                      <a:noFill/>
                    </a:ln>
                  </pic:spPr>
                </pic:pic>
              </a:graphicData>
            </a:graphic>
          </wp:inline>
        </w:drawing>
      </w:r>
    </w:p>
    <w:p w:rsidR="00180BE7" w:rsidRDefault="00180BE7" w:rsidP="00180BE7">
      <w:pPr>
        <w:pStyle w:val="StandardWeb"/>
        <w:spacing w:after="0" w:afterAutospacing="0"/>
        <w:rPr>
          <w:rFonts w:ascii="Verdana" w:hAnsi="Verdana"/>
          <w:sz w:val="18"/>
          <w:szCs w:val="18"/>
        </w:rPr>
      </w:pPr>
    </w:p>
    <w:p w:rsidR="00180BE7" w:rsidRDefault="00180BE7" w:rsidP="00180BE7">
      <w:pPr>
        <w:pStyle w:val="StandardWeb"/>
        <w:spacing w:after="0" w:afterAutospacing="0"/>
        <w:rPr>
          <w:rFonts w:ascii="Segoe UI" w:hAnsi="Segoe UI" w:cs="Segoe UI"/>
          <w:sz w:val="18"/>
          <w:szCs w:val="18"/>
        </w:rPr>
      </w:pPr>
      <w:proofErr w:type="spellStart"/>
      <w:r>
        <w:rPr>
          <w:rFonts w:ascii="Segoe UI" w:hAnsi="Segoe UI" w:cs="Segoe UI"/>
          <w:sz w:val="20"/>
          <w:szCs w:val="20"/>
        </w:rPr>
        <w:t>Chinolinsäure</w:t>
      </w:r>
      <w:proofErr w:type="spellEnd"/>
      <w:r>
        <w:rPr>
          <w:rFonts w:ascii="Segoe UI" w:hAnsi="Segoe UI" w:cs="Segoe UI"/>
          <w:sz w:val="20"/>
          <w:szCs w:val="20"/>
        </w:rPr>
        <w:t xml:space="preserve"> ist also ein natürlicher Metabolit und essentieller Baustein des </w:t>
      </w:r>
      <w:proofErr w:type="spellStart"/>
      <w:r>
        <w:rPr>
          <w:rFonts w:ascii="Segoe UI" w:hAnsi="Segoe UI" w:cs="Segoe UI"/>
          <w:sz w:val="20"/>
          <w:szCs w:val="20"/>
        </w:rPr>
        <w:t>Tryptophanstoffwechsels</w:t>
      </w:r>
      <w:proofErr w:type="spellEnd"/>
      <w:r>
        <w:rPr>
          <w:rFonts w:ascii="Segoe UI" w:hAnsi="Segoe UI" w:cs="Segoe UI"/>
          <w:sz w:val="20"/>
          <w:szCs w:val="20"/>
        </w:rPr>
        <w:t xml:space="preserve">, denn es liefert unseren Mitochondrien in Form von NAD den Treibstoff, der die Glykolyse, den </w:t>
      </w:r>
      <w:proofErr w:type="spellStart"/>
      <w:r>
        <w:rPr>
          <w:rFonts w:ascii="Segoe UI" w:hAnsi="Segoe UI" w:cs="Segoe UI"/>
          <w:sz w:val="20"/>
          <w:szCs w:val="20"/>
        </w:rPr>
        <w:t>Citratzyklus</w:t>
      </w:r>
      <w:proofErr w:type="spellEnd"/>
      <w:r>
        <w:rPr>
          <w:rFonts w:ascii="Segoe UI" w:hAnsi="Segoe UI" w:cs="Segoe UI"/>
          <w:sz w:val="20"/>
          <w:szCs w:val="20"/>
        </w:rPr>
        <w:t xml:space="preserve">, die Atmungskette und die ATP-Synthese aufrechterhält. Wie Sie dem Schaubild entnehmen können, ist für den Abbau von </w:t>
      </w:r>
      <w:proofErr w:type="spellStart"/>
      <w:r>
        <w:rPr>
          <w:rFonts w:ascii="Segoe UI" w:hAnsi="Segoe UI" w:cs="Segoe UI"/>
          <w:sz w:val="20"/>
          <w:szCs w:val="20"/>
        </w:rPr>
        <w:t>Chinolinsäure</w:t>
      </w:r>
      <w:proofErr w:type="spellEnd"/>
      <w:r>
        <w:rPr>
          <w:rFonts w:ascii="Segoe UI" w:hAnsi="Segoe UI" w:cs="Segoe UI"/>
          <w:sz w:val="20"/>
          <w:szCs w:val="20"/>
        </w:rPr>
        <w:t xml:space="preserve"> zu NAD das Enzym </w:t>
      </w:r>
      <w:proofErr w:type="spellStart"/>
      <w:r>
        <w:rPr>
          <w:rFonts w:ascii="Segoe UI" w:hAnsi="Segoe UI" w:cs="Segoe UI"/>
          <w:sz w:val="20"/>
          <w:szCs w:val="20"/>
        </w:rPr>
        <w:t>Chinolinat-Phosphoribosyltransferase</w:t>
      </w:r>
      <w:proofErr w:type="spellEnd"/>
      <w:r>
        <w:rPr>
          <w:rFonts w:ascii="Segoe UI" w:hAnsi="Segoe UI" w:cs="Segoe UI"/>
          <w:sz w:val="20"/>
          <w:szCs w:val="20"/>
        </w:rPr>
        <w:t xml:space="preserve"> (QPRT) notwendig. Dessen Aktivität ist Magnesium-abhängig:</w:t>
      </w:r>
    </w:p>
    <w:p w:rsidR="00180BE7" w:rsidRDefault="00180BE7" w:rsidP="00180BE7">
      <w:pPr>
        <w:pStyle w:val="StandardWeb"/>
        <w:spacing w:after="0" w:afterAutospacing="0"/>
        <w:rPr>
          <w:rFonts w:ascii="Segoe UI" w:hAnsi="Segoe UI" w:cs="Segoe UI"/>
          <w:sz w:val="18"/>
          <w:szCs w:val="18"/>
        </w:rPr>
      </w:pPr>
      <w:r>
        <w:rPr>
          <w:rFonts w:ascii="Segoe UI" w:hAnsi="Segoe UI" w:cs="Segoe UI"/>
          <w:noProof/>
          <w:sz w:val="18"/>
          <w:szCs w:val="18"/>
        </w:rPr>
        <w:lastRenderedPageBreak/>
        <w:drawing>
          <wp:inline distT="0" distB="0" distL="0" distR="0">
            <wp:extent cx="3886200" cy="4829175"/>
            <wp:effectExtent l="0" t="0" r="0" b="9525"/>
            <wp:docPr id="5" name="Grafik 5" descr="Inlin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line-Bild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4829175"/>
                    </a:xfrm>
                    <a:prstGeom prst="rect">
                      <a:avLst/>
                    </a:prstGeom>
                    <a:noFill/>
                    <a:ln>
                      <a:noFill/>
                    </a:ln>
                  </pic:spPr>
                </pic:pic>
              </a:graphicData>
            </a:graphic>
          </wp:inline>
        </w:drawing>
      </w:r>
    </w:p>
    <w:p w:rsidR="00180BE7" w:rsidRDefault="00180BE7" w:rsidP="00180BE7">
      <w:pPr>
        <w:pStyle w:val="StandardWeb"/>
        <w:spacing w:after="0" w:afterAutospacing="0"/>
        <w:rPr>
          <w:rFonts w:ascii="Segoe UI" w:hAnsi="Segoe UI" w:cs="Segoe UI"/>
          <w:sz w:val="18"/>
          <w:szCs w:val="18"/>
        </w:rPr>
      </w:pPr>
      <w:r>
        <w:rPr>
          <w:rFonts w:ascii="Segoe UI" w:hAnsi="Segoe UI" w:cs="Segoe UI"/>
          <w:sz w:val="20"/>
          <w:szCs w:val="20"/>
        </w:rPr>
        <w:t>(</w:t>
      </w:r>
      <w:hyperlink r:id="rId14" w:tgtFrame="_blank" w:history="1">
        <w:r>
          <w:rPr>
            <w:rStyle w:val="Hyperlink"/>
            <w:rFonts w:ascii="Segoe UI" w:hAnsi="Segoe UI" w:cs="Segoe UI"/>
            <w:sz w:val="20"/>
            <w:szCs w:val="20"/>
          </w:rPr>
          <w:t>http://jpp.krakow.pl/journal/archive/02_16/articles/01_article.html</w:t>
        </w:r>
      </w:hyperlink>
      <w:r>
        <w:rPr>
          <w:rFonts w:ascii="Segoe UI" w:hAnsi="Segoe UI" w:cs="Segoe UI"/>
          <w:sz w:val="20"/>
          <w:szCs w:val="20"/>
        </w:rPr>
        <w:t>)</w:t>
      </w:r>
    </w:p>
    <w:p w:rsidR="00180BE7" w:rsidRDefault="00180BE7" w:rsidP="00180BE7">
      <w:pPr>
        <w:pStyle w:val="StandardWeb"/>
        <w:spacing w:after="0" w:afterAutospacing="0"/>
        <w:rPr>
          <w:rFonts w:ascii="Segoe UI" w:hAnsi="Segoe UI" w:cs="Segoe UI"/>
          <w:sz w:val="18"/>
          <w:szCs w:val="18"/>
        </w:rPr>
      </w:pPr>
      <w:r>
        <w:rPr>
          <w:rFonts w:ascii="Segoe UI" w:hAnsi="Segoe UI" w:cs="Segoe UI"/>
          <w:sz w:val="20"/>
          <w:szCs w:val="20"/>
        </w:rPr>
        <w:t xml:space="preserve">Was passiert, wenn eine toxische Substanz mit ebenjenem Mg²⁺ </w:t>
      </w:r>
      <w:proofErr w:type="spellStart"/>
      <w:r>
        <w:rPr>
          <w:rFonts w:ascii="Segoe UI" w:hAnsi="Segoe UI" w:cs="Segoe UI"/>
          <w:sz w:val="20"/>
          <w:szCs w:val="20"/>
        </w:rPr>
        <w:t>komplexiert</w:t>
      </w:r>
      <w:proofErr w:type="spellEnd"/>
      <w:r>
        <w:rPr>
          <w:rFonts w:ascii="Segoe UI" w:hAnsi="Segoe UI" w:cs="Segoe UI"/>
          <w:sz w:val="20"/>
          <w:szCs w:val="20"/>
        </w:rPr>
        <w:t xml:space="preserve">, welches von der QPRT benötigt wird, um </w:t>
      </w:r>
      <w:proofErr w:type="spellStart"/>
      <w:r>
        <w:rPr>
          <w:rFonts w:ascii="Segoe UI" w:hAnsi="Segoe UI" w:cs="Segoe UI"/>
          <w:sz w:val="20"/>
          <w:szCs w:val="20"/>
        </w:rPr>
        <w:t>Chinolinsäure</w:t>
      </w:r>
      <w:proofErr w:type="spellEnd"/>
      <w:r>
        <w:rPr>
          <w:rFonts w:ascii="Segoe UI" w:hAnsi="Segoe UI" w:cs="Segoe UI"/>
          <w:sz w:val="20"/>
          <w:szCs w:val="20"/>
        </w:rPr>
        <w:t xml:space="preserve"> zu lebenswichtigem NAD abzubauen? Dann bildet sich wohl etwas </w:t>
      </w:r>
      <w:proofErr w:type="spellStart"/>
      <w:r>
        <w:rPr>
          <w:rFonts w:ascii="Segoe UI" w:hAnsi="Segoe UI" w:cs="Segoe UI"/>
          <w:sz w:val="20"/>
          <w:szCs w:val="20"/>
        </w:rPr>
        <w:t>zuviel</w:t>
      </w:r>
      <w:proofErr w:type="spellEnd"/>
      <w:r>
        <w:rPr>
          <w:rFonts w:ascii="Segoe UI" w:hAnsi="Segoe UI" w:cs="Segoe UI"/>
          <w:sz w:val="20"/>
          <w:szCs w:val="20"/>
        </w:rPr>
        <w:t xml:space="preserve"> </w:t>
      </w:r>
      <w:proofErr w:type="spellStart"/>
      <w:r>
        <w:rPr>
          <w:rFonts w:ascii="Segoe UI" w:hAnsi="Segoe UI" w:cs="Segoe UI"/>
          <w:sz w:val="20"/>
          <w:szCs w:val="20"/>
        </w:rPr>
        <w:t>Chinolinsäure</w:t>
      </w:r>
      <w:proofErr w:type="spellEnd"/>
      <w:r>
        <w:rPr>
          <w:rFonts w:ascii="Segoe UI" w:hAnsi="Segoe UI" w:cs="Segoe UI"/>
          <w:sz w:val="20"/>
          <w:szCs w:val="20"/>
        </w:rPr>
        <w:t xml:space="preserve">. Das ist allerdings nur ein sekundärer Effekt. Das Hauptproblem dürfte darin bestehen, dass betroffenen Zellen aufgrund der gestörten </w:t>
      </w:r>
      <w:proofErr w:type="spellStart"/>
      <w:r>
        <w:rPr>
          <w:rFonts w:ascii="Segoe UI" w:hAnsi="Segoe UI" w:cs="Segoe UI"/>
          <w:sz w:val="20"/>
          <w:szCs w:val="20"/>
        </w:rPr>
        <w:t>Niacinsynthese</w:t>
      </w:r>
      <w:proofErr w:type="spellEnd"/>
      <w:r>
        <w:rPr>
          <w:rFonts w:ascii="Segoe UI" w:hAnsi="Segoe UI" w:cs="Segoe UI"/>
          <w:sz w:val="20"/>
          <w:szCs w:val="20"/>
        </w:rPr>
        <w:t xml:space="preserve"> nicht mehr genügend NAD zur Verfügung steht. Das würde bedeuten, dass auffällige </w:t>
      </w:r>
      <w:proofErr w:type="spellStart"/>
      <w:r>
        <w:rPr>
          <w:rFonts w:ascii="Segoe UI" w:hAnsi="Segoe UI" w:cs="Segoe UI"/>
          <w:sz w:val="20"/>
          <w:szCs w:val="20"/>
        </w:rPr>
        <w:t>Chinolinsäurespiegel</w:t>
      </w:r>
      <w:proofErr w:type="spellEnd"/>
      <w:r>
        <w:rPr>
          <w:rFonts w:ascii="Segoe UI" w:hAnsi="Segoe UI" w:cs="Segoe UI"/>
          <w:sz w:val="20"/>
          <w:szCs w:val="20"/>
        </w:rPr>
        <w:t xml:space="preserve"> lediglich als Indikator für Erkrankungen dienen, deren molekulare Ursache tiefer liegt. </w:t>
      </w:r>
    </w:p>
    <w:p w:rsidR="00180BE7" w:rsidRDefault="00180BE7" w:rsidP="00180BE7">
      <w:pPr>
        <w:pStyle w:val="StandardWeb"/>
        <w:spacing w:after="0" w:afterAutospacing="0"/>
        <w:rPr>
          <w:rFonts w:ascii="Segoe UI" w:hAnsi="Segoe UI" w:cs="Segoe UI"/>
          <w:sz w:val="18"/>
          <w:szCs w:val="18"/>
        </w:rPr>
      </w:pPr>
      <w:proofErr w:type="spellStart"/>
      <w:r w:rsidRPr="00DD6FE7">
        <w:rPr>
          <w:rFonts w:ascii="Segoe UI" w:hAnsi="Segoe UI" w:cs="Segoe UI"/>
          <w:sz w:val="20"/>
          <w:szCs w:val="20"/>
          <w:lang w:val="en-US"/>
        </w:rPr>
        <w:t>Zudem</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sollte</w:t>
      </w:r>
      <w:proofErr w:type="spellEnd"/>
      <w:r w:rsidRPr="00DD6FE7">
        <w:rPr>
          <w:rFonts w:ascii="Segoe UI" w:hAnsi="Segoe UI" w:cs="Segoe UI"/>
          <w:sz w:val="20"/>
          <w:szCs w:val="20"/>
          <w:lang w:val="en-US"/>
        </w:rPr>
        <w:t xml:space="preserve"> das </w:t>
      </w:r>
      <w:proofErr w:type="spellStart"/>
      <w:r w:rsidRPr="00DD6FE7">
        <w:rPr>
          <w:rFonts w:ascii="Segoe UI" w:hAnsi="Segoe UI" w:cs="Segoe UI"/>
          <w:sz w:val="20"/>
          <w:szCs w:val="20"/>
          <w:lang w:val="en-US"/>
        </w:rPr>
        <w:t>Interaktionspotential</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zwischen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Chinolinsäure</w:t>
      </w:r>
      <w:proofErr w:type="spellEnd"/>
      <w:r w:rsidRPr="00DD6FE7">
        <w:rPr>
          <w:rFonts w:ascii="Segoe UI" w:hAnsi="Segoe UI" w:cs="Segoe UI"/>
          <w:sz w:val="20"/>
          <w:szCs w:val="20"/>
          <w:lang w:val="en-US"/>
        </w:rPr>
        <w:t xml:space="preserve"> und </w:t>
      </w:r>
      <w:proofErr w:type="spellStart"/>
      <w:r w:rsidRPr="00DD6FE7">
        <w:rPr>
          <w:rFonts w:ascii="Segoe UI" w:hAnsi="Segoe UI" w:cs="Segoe UI"/>
          <w:sz w:val="20"/>
          <w:szCs w:val="20"/>
          <w:lang w:val="en-US"/>
        </w:rPr>
        <w:t>dem</w:t>
      </w:r>
      <w:proofErr w:type="spellEnd"/>
      <w:r w:rsidRPr="00DD6FE7">
        <w:rPr>
          <w:rFonts w:ascii="Segoe UI" w:hAnsi="Segoe UI" w:cs="Segoe UI"/>
          <w:sz w:val="20"/>
          <w:szCs w:val="20"/>
          <w:lang w:val="en-US"/>
        </w:rPr>
        <w:t xml:space="preserve"> NMDA-</w:t>
      </w:r>
      <w:proofErr w:type="spellStart"/>
      <w:r w:rsidRPr="00DD6FE7">
        <w:rPr>
          <w:rFonts w:ascii="Segoe UI" w:hAnsi="Segoe UI" w:cs="Segoe UI"/>
          <w:sz w:val="20"/>
          <w:szCs w:val="20"/>
          <w:lang w:val="en-US"/>
        </w:rPr>
        <w:t>Rezeptor</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etwas</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gelassener</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betrachtet</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werden</w:t>
      </w:r>
      <w:proofErr w:type="spellEnd"/>
      <w:r w:rsidRPr="00DD6FE7">
        <w:rPr>
          <w:rFonts w:ascii="Segoe UI" w:hAnsi="Segoe UI" w:cs="Segoe UI"/>
          <w:sz w:val="20"/>
          <w:szCs w:val="20"/>
          <w:lang w:val="en-US"/>
        </w:rPr>
        <w:t xml:space="preserve">, „because QUIN is a </w:t>
      </w:r>
      <w:r w:rsidRPr="00DD6FE7">
        <w:rPr>
          <w:rFonts w:ascii="Segoe UI" w:hAnsi="Segoe UI" w:cs="Segoe UI"/>
          <w:b/>
          <w:bCs/>
          <w:sz w:val="20"/>
          <w:szCs w:val="20"/>
          <w:lang w:val="en-US"/>
        </w:rPr>
        <w:t>weak</w:t>
      </w:r>
      <w:r w:rsidRPr="00DD6FE7">
        <w:rPr>
          <w:rFonts w:ascii="Segoe UI" w:hAnsi="Segoe UI" w:cs="Segoe UI"/>
          <w:sz w:val="20"/>
          <w:szCs w:val="20"/>
          <w:lang w:val="en-US"/>
        </w:rPr>
        <w:t xml:space="preserve"> NMDA receptor agonist: Our data suggest that, although synthesis of QUIN from activated microglia and invading macrophages can increase its extracellular concentration 10-100-fold, the levels that are reached in these conditions remain far below the concentrations of QUIN that are necessary for excessive NMDA receptor activation..“ </w:t>
      </w:r>
      <w:r>
        <w:rPr>
          <w:rFonts w:ascii="Segoe UI" w:hAnsi="Segoe UI" w:cs="Segoe UI"/>
          <w:sz w:val="20"/>
          <w:szCs w:val="20"/>
        </w:rPr>
        <w:t>(</w:t>
      </w:r>
      <w:hyperlink r:id="rId15" w:tgtFrame="_blank" w:history="1">
        <w:r>
          <w:rPr>
            <w:rStyle w:val="Hyperlink"/>
            <w:rFonts w:ascii="Segoe UI" w:hAnsi="Segoe UI" w:cs="Segoe UI"/>
            <w:color w:val="0066CC"/>
            <w:sz w:val="20"/>
            <w:szCs w:val="20"/>
          </w:rPr>
          <w:t>https://www.ncbi.nlm.nih.gov/pubmed/11462760</w:t>
        </w:r>
      </w:hyperlink>
      <w:r>
        <w:rPr>
          <w:rFonts w:ascii="Segoe UI" w:hAnsi="Segoe UI" w:cs="Segoe UI"/>
          <w:sz w:val="20"/>
          <w:szCs w:val="20"/>
        </w:rPr>
        <w:t>).</w:t>
      </w:r>
    </w:p>
    <w:p w:rsidR="00180BE7" w:rsidRDefault="00180BE7" w:rsidP="00180BE7">
      <w:pPr>
        <w:pStyle w:val="StandardWeb"/>
        <w:spacing w:after="0" w:afterAutospacing="0"/>
        <w:rPr>
          <w:rFonts w:ascii="Segoe UI" w:hAnsi="Segoe UI" w:cs="Segoe UI"/>
          <w:sz w:val="18"/>
          <w:szCs w:val="18"/>
        </w:rPr>
      </w:pPr>
      <w:r>
        <w:rPr>
          <w:rFonts w:ascii="Segoe UI" w:hAnsi="Segoe UI" w:cs="Segoe UI"/>
          <w:sz w:val="20"/>
          <w:szCs w:val="20"/>
        </w:rPr>
        <w:t xml:space="preserve">Allerdings spielt auch in diesem Fall das Magnesium eine zentrale Rolle, indem es den NMDA-Rezeptor im Ruhezustand blockiert und im aktiven Zustand durch einen transienten </w:t>
      </w:r>
      <w:proofErr w:type="spellStart"/>
      <w:r>
        <w:rPr>
          <w:rFonts w:ascii="Segoe UI" w:hAnsi="Segoe UI" w:cs="Segoe UI"/>
          <w:sz w:val="20"/>
          <w:szCs w:val="20"/>
        </w:rPr>
        <w:t>Calciuminflux</w:t>
      </w:r>
      <w:proofErr w:type="spellEnd"/>
      <w:r>
        <w:rPr>
          <w:rFonts w:ascii="Segoe UI" w:hAnsi="Segoe UI" w:cs="Segoe UI"/>
          <w:sz w:val="20"/>
          <w:szCs w:val="20"/>
        </w:rPr>
        <w:t xml:space="preserve"> aktiviert:</w:t>
      </w:r>
    </w:p>
    <w:p w:rsidR="00180BE7" w:rsidRDefault="00180BE7" w:rsidP="00180BE7">
      <w:pPr>
        <w:pStyle w:val="StandardWeb"/>
        <w:spacing w:after="0" w:afterAutospacing="0"/>
        <w:rPr>
          <w:rFonts w:ascii="Segoe UI" w:hAnsi="Segoe UI" w:cs="Segoe UI"/>
          <w:sz w:val="18"/>
          <w:szCs w:val="18"/>
        </w:rPr>
      </w:pPr>
      <w:r>
        <w:rPr>
          <w:rFonts w:ascii="Segoe UI" w:hAnsi="Segoe UI" w:cs="Segoe UI"/>
          <w:noProof/>
          <w:sz w:val="18"/>
          <w:szCs w:val="18"/>
        </w:rPr>
        <w:lastRenderedPageBreak/>
        <w:drawing>
          <wp:inline distT="0" distB="0" distL="0" distR="0">
            <wp:extent cx="4476750" cy="5248275"/>
            <wp:effectExtent l="0" t="0" r="0" b="9525"/>
            <wp:docPr id="4" name="Grafik 4" descr="Inlin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line-Bild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5248275"/>
                    </a:xfrm>
                    <a:prstGeom prst="rect">
                      <a:avLst/>
                    </a:prstGeom>
                    <a:noFill/>
                    <a:ln>
                      <a:noFill/>
                    </a:ln>
                  </pic:spPr>
                </pic:pic>
              </a:graphicData>
            </a:graphic>
          </wp:inline>
        </w:drawing>
      </w:r>
    </w:p>
    <w:p w:rsidR="00180BE7" w:rsidRDefault="00180BE7" w:rsidP="00180BE7">
      <w:pPr>
        <w:pStyle w:val="StandardWeb"/>
        <w:spacing w:after="0" w:afterAutospacing="0"/>
        <w:rPr>
          <w:rFonts w:ascii="Segoe UI" w:hAnsi="Segoe UI" w:cs="Segoe UI"/>
          <w:sz w:val="18"/>
          <w:szCs w:val="18"/>
        </w:rPr>
      </w:pPr>
      <w:r>
        <w:rPr>
          <w:rFonts w:ascii="Segoe UI" w:hAnsi="Segoe UI" w:cs="Segoe UI"/>
          <w:color w:val="0066CC"/>
          <w:sz w:val="20"/>
          <w:szCs w:val="20"/>
        </w:rPr>
        <w:t>(</w:t>
      </w:r>
      <w:hyperlink r:id="rId17" w:tgtFrame="_blank" w:history="1">
        <w:r>
          <w:rPr>
            <w:rStyle w:val="Hyperlink"/>
            <w:rFonts w:ascii="Segoe UI" w:hAnsi="Segoe UI" w:cs="Segoe UI"/>
            <w:sz w:val="20"/>
            <w:szCs w:val="20"/>
          </w:rPr>
          <w:t>https://www.ncbi.nlm.nih.gov/pmc/articles/PMC3481041/</w:t>
        </w:r>
      </w:hyperlink>
      <w:r>
        <w:rPr>
          <w:rFonts w:ascii="Segoe UI" w:hAnsi="Segoe UI" w:cs="Segoe UI"/>
          <w:color w:val="0066CC"/>
          <w:sz w:val="20"/>
          <w:szCs w:val="20"/>
        </w:rPr>
        <w:t>)</w:t>
      </w:r>
    </w:p>
    <w:p w:rsidR="00180BE7" w:rsidRDefault="00180BE7" w:rsidP="00180BE7">
      <w:pPr>
        <w:pStyle w:val="StandardWeb"/>
        <w:spacing w:after="0" w:afterAutospacing="0"/>
        <w:rPr>
          <w:rFonts w:ascii="Segoe UI" w:hAnsi="Segoe UI" w:cs="Segoe UI"/>
          <w:sz w:val="18"/>
          <w:szCs w:val="18"/>
        </w:rPr>
      </w:pPr>
      <w:r>
        <w:rPr>
          <w:rFonts w:ascii="Segoe UI" w:hAnsi="Segoe UI" w:cs="Segoe UI"/>
          <w:strike/>
          <w:sz w:val="18"/>
          <w:szCs w:val="18"/>
        </w:rPr>
        <w:br/>
      </w:r>
      <w:r>
        <w:rPr>
          <w:rFonts w:ascii="Segoe UI" w:hAnsi="Segoe UI" w:cs="Segoe UI"/>
          <w:sz w:val="20"/>
          <w:szCs w:val="20"/>
        </w:rPr>
        <w:t xml:space="preserve">Manche Gifte können als potente NMDA-Rezeptor-Agonisten durch </w:t>
      </w:r>
      <w:proofErr w:type="spellStart"/>
      <w:r>
        <w:rPr>
          <w:rFonts w:ascii="Segoe UI" w:hAnsi="Segoe UI" w:cs="Segoe UI"/>
          <w:sz w:val="20"/>
          <w:szCs w:val="20"/>
        </w:rPr>
        <w:t>Komplexierung</w:t>
      </w:r>
      <w:proofErr w:type="spellEnd"/>
      <w:r>
        <w:rPr>
          <w:rFonts w:ascii="Segoe UI" w:hAnsi="Segoe UI" w:cs="Segoe UI"/>
          <w:sz w:val="20"/>
          <w:szCs w:val="20"/>
        </w:rPr>
        <w:t xml:space="preserve"> mit Mg²⁺ einen massiven Ca²⁺-</w:t>
      </w:r>
      <w:proofErr w:type="spellStart"/>
      <w:r>
        <w:rPr>
          <w:rFonts w:ascii="Segoe UI" w:hAnsi="Segoe UI" w:cs="Segoe UI"/>
          <w:sz w:val="20"/>
          <w:szCs w:val="20"/>
        </w:rPr>
        <w:t>Influx</w:t>
      </w:r>
      <w:proofErr w:type="spellEnd"/>
      <w:r>
        <w:rPr>
          <w:rFonts w:ascii="Segoe UI" w:hAnsi="Segoe UI" w:cs="Segoe UI"/>
          <w:sz w:val="20"/>
          <w:szCs w:val="20"/>
        </w:rPr>
        <w:t xml:space="preserve"> verursachen. Das ist dann der Anfang vom Ende: die </w:t>
      </w:r>
      <w:proofErr w:type="spellStart"/>
      <w:r>
        <w:rPr>
          <w:rFonts w:ascii="Segoe UI" w:hAnsi="Segoe UI" w:cs="Segoe UI"/>
          <w:sz w:val="20"/>
          <w:szCs w:val="20"/>
        </w:rPr>
        <w:t>Signaltranduktionswege</w:t>
      </w:r>
      <w:proofErr w:type="spellEnd"/>
      <w:r>
        <w:rPr>
          <w:rFonts w:ascii="Segoe UI" w:hAnsi="Segoe UI" w:cs="Segoe UI"/>
          <w:sz w:val="20"/>
          <w:szCs w:val="20"/>
        </w:rPr>
        <w:t xml:space="preserve"> werden gestört, das </w:t>
      </w:r>
      <w:proofErr w:type="spellStart"/>
      <w:r>
        <w:rPr>
          <w:rFonts w:ascii="Segoe UI" w:hAnsi="Segoe UI" w:cs="Segoe UI"/>
          <w:sz w:val="20"/>
          <w:szCs w:val="20"/>
        </w:rPr>
        <w:t>Zytosol</w:t>
      </w:r>
      <w:proofErr w:type="spellEnd"/>
      <w:r>
        <w:rPr>
          <w:rFonts w:ascii="Segoe UI" w:hAnsi="Segoe UI" w:cs="Segoe UI"/>
          <w:sz w:val="20"/>
          <w:szCs w:val="20"/>
        </w:rPr>
        <w:t xml:space="preserve"> verkalkt sukzessive, und die Mitochondrien machen irgendwann schlapp.</w:t>
      </w:r>
    </w:p>
    <w:p w:rsidR="00942933" w:rsidRDefault="00942933"/>
    <w:p w:rsidR="00942933" w:rsidRDefault="00942933"/>
    <w:p w:rsidR="00942933" w:rsidRDefault="00942933"/>
    <w:p w:rsidR="00942933" w:rsidRDefault="00942933">
      <w:r w:rsidRPr="00942933">
        <w:t>https://www.ncbi.nlm.nih.gov/pubmed/10588931?dopt=Abstract&amp;holding=f1000,f1000m,isrctn</w:t>
      </w:r>
    </w:p>
    <w:p w:rsidR="00942933" w:rsidRDefault="00942933"/>
    <w:p w:rsidR="00F07F3D" w:rsidRDefault="00F07F3D"/>
    <w:p w:rsidR="00F07F3D" w:rsidRDefault="00F07F3D"/>
    <w:p w:rsidR="00942933" w:rsidRPr="00DD6FE7" w:rsidRDefault="00942933" w:rsidP="00942933">
      <w:pPr>
        <w:shd w:val="clear" w:color="auto" w:fill="FFFFFF"/>
        <w:spacing w:before="240" w:after="120" w:line="240" w:lineRule="auto"/>
        <w:outlineLvl w:val="0"/>
        <w:rPr>
          <w:rFonts w:ascii="Arial" w:eastAsia="Times New Roman" w:hAnsi="Arial" w:cs="Arial"/>
          <w:b/>
          <w:bCs/>
          <w:color w:val="000000"/>
          <w:kern w:val="36"/>
          <w:sz w:val="28"/>
          <w:szCs w:val="28"/>
          <w:lang w:val="en-US" w:eastAsia="de-DE"/>
        </w:rPr>
      </w:pPr>
      <w:r w:rsidRPr="00DD6FE7">
        <w:rPr>
          <w:rFonts w:ascii="Arial" w:eastAsia="Times New Roman" w:hAnsi="Arial" w:cs="Arial"/>
          <w:b/>
          <w:bCs/>
          <w:color w:val="000000"/>
          <w:kern w:val="36"/>
          <w:sz w:val="28"/>
          <w:szCs w:val="28"/>
          <w:lang w:val="en-US" w:eastAsia="de-DE"/>
        </w:rPr>
        <w:lastRenderedPageBreak/>
        <w:t xml:space="preserve">Oxidative stress as a mechanism for </w:t>
      </w:r>
      <w:proofErr w:type="spellStart"/>
      <w:r w:rsidRPr="00DD6FE7">
        <w:rPr>
          <w:rFonts w:ascii="Arial" w:eastAsia="Times New Roman" w:hAnsi="Arial" w:cs="Arial"/>
          <w:b/>
          <w:bCs/>
          <w:color w:val="000000"/>
          <w:kern w:val="36"/>
          <w:sz w:val="28"/>
          <w:szCs w:val="28"/>
          <w:lang w:val="en-US" w:eastAsia="de-DE"/>
        </w:rPr>
        <w:t>quinolinic</w:t>
      </w:r>
      <w:proofErr w:type="spellEnd"/>
      <w:r w:rsidRPr="00DD6FE7">
        <w:rPr>
          <w:rFonts w:ascii="Arial" w:eastAsia="Times New Roman" w:hAnsi="Arial" w:cs="Arial"/>
          <w:b/>
          <w:bCs/>
          <w:color w:val="000000"/>
          <w:kern w:val="36"/>
          <w:sz w:val="28"/>
          <w:szCs w:val="28"/>
          <w:lang w:val="en-US" w:eastAsia="de-DE"/>
        </w:rPr>
        <w:t xml:space="preserve"> acid-induced hippocampal damage: protection by melatonin and </w:t>
      </w:r>
      <w:proofErr w:type="spellStart"/>
      <w:r w:rsidRPr="00DD6FE7">
        <w:rPr>
          <w:rFonts w:ascii="Arial" w:eastAsia="Times New Roman" w:hAnsi="Arial" w:cs="Arial"/>
          <w:b/>
          <w:bCs/>
          <w:color w:val="000000"/>
          <w:kern w:val="36"/>
          <w:sz w:val="28"/>
          <w:szCs w:val="28"/>
          <w:lang w:val="en-US" w:eastAsia="de-DE"/>
        </w:rPr>
        <w:t>deprenyl</w:t>
      </w:r>
      <w:proofErr w:type="spellEnd"/>
      <w:r w:rsidRPr="00DD6FE7">
        <w:rPr>
          <w:rFonts w:ascii="Arial" w:eastAsia="Times New Roman" w:hAnsi="Arial" w:cs="Arial"/>
          <w:b/>
          <w:bCs/>
          <w:color w:val="000000"/>
          <w:kern w:val="36"/>
          <w:sz w:val="28"/>
          <w:szCs w:val="28"/>
          <w:lang w:val="en-US" w:eastAsia="de-DE"/>
        </w:rPr>
        <w:t>.</w:t>
      </w:r>
    </w:p>
    <w:p w:rsidR="00942933" w:rsidRPr="00DD6FE7" w:rsidRDefault="00C2653A" w:rsidP="00942933">
      <w:pPr>
        <w:shd w:val="clear" w:color="auto" w:fill="FFFFFF"/>
        <w:spacing w:after="0" w:line="240" w:lineRule="auto"/>
        <w:rPr>
          <w:rFonts w:ascii="Arial" w:eastAsia="Times New Roman" w:hAnsi="Arial" w:cs="Arial"/>
          <w:sz w:val="20"/>
          <w:szCs w:val="20"/>
          <w:lang w:val="en-US" w:eastAsia="de-DE"/>
        </w:rPr>
      </w:pPr>
      <w:hyperlink r:id="rId18" w:history="1">
        <w:proofErr w:type="gramStart"/>
        <w:r w:rsidR="00942933" w:rsidRPr="00DD6FE7">
          <w:rPr>
            <w:rFonts w:ascii="Arial" w:eastAsia="Times New Roman" w:hAnsi="Arial" w:cs="Arial"/>
            <w:color w:val="2F4A8B"/>
            <w:sz w:val="20"/>
            <w:szCs w:val="20"/>
            <w:u w:val="single"/>
            <w:lang w:val="en-US" w:eastAsia="de-DE"/>
          </w:rPr>
          <w:t>Behan WM</w:t>
        </w:r>
      </w:hyperlink>
      <w:r w:rsidR="00942933" w:rsidRPr="00DD6FE7">
        <w:rPr>
          <w:rFonts w:ascii="Arial" w:eastAsia="Times New Roman" w:hAnsi="Arial" w:cs="Arial"/>
          <w:sz w:val="17"/>
          <w:szCs w:val="17"/>
          <w:vertAlign w:val="superscript"/>
          <w:lang w:val="en-US" w:eastAsia="de-DE"/>
        </w:rPr>
        <w:t>1</w:t>
      </w:r>
      <w:r w:rsidR="00942933" w:rsidRPr="00DD6FE7">
        <w:rPr>
          <w:rFonts w:ascii="Arial" w:eastAsia="Times New Roman" w:hAnsi="Arial" w:cs="Arial"/>
          <w:sz w:val="20"/>
          <w:szCs w:val="20"/>
          <w:lang w:val="en-US" w:eastAsia="de-DE"/>
        </w:rPr>
        <w:t xml:space="preserve">, </w:t>
      </w:r>
      <w:hyperlink r:id="rId19" w:history="1">
        <w:r w:rsidR="00942933" w:rsidRPr="00DD6FE7">
          <w:rPr>
            <w:rFonts w:ascii="Arial" w:eastAsia="Times New Roman" w:hAnsi="Arial" w:cs="Arial"/>
            <w:color w:val="2F4A8B"/>
            <w:sz w:val="20"/>
            <w:szCs w:val="20"/>
            <w:u w:val="single"/>
            <w:lang w:val="en-US" w:eastAsia="de-DE"/>
          </w:rPr>
          <w:t>McDonald M</w:t>
        </w:r>
      </w:hyperlink>
      <w:r w:rsidR="00942933" w:rsidRPr="00DD6FE7">
        <w:rPr>
          <w:rFonts w:ascii="Arial" w:eastAsia="Times New Roman" w:hAnsi="Arial" w:cs="Arial"/>
          <w:sz w:val="20"/>
          <w:szCs w:val="20"/>
          <w:lang w:val="en-US" w:eastAsia="de-DE"/>
        </w:rPr>
        <w:t xml:space="preserve">, </w:t>
      </w:r>
      <w:hyperlink r:id="rId20" w:history="1">
        <w:r w:rsidR="00942933" w:rsidRPr="00DD6FE7">
          <w:rPr>
            <w:rFonts w:ascii="Arial" w:eastAsia="Times New Roman" w:hAnsi="Arial" w:cs="Arial"/>
            <w:color w:val="2F4A8B"/>
            <w:sz w:val="20"/>
            <w:szCs w:val="20"/>
            <w:u w:val="single"/>
            <w:lang w:val="en-US" w:eastAsia="de-DE"/>
          </w:rPr>
          <w:t>Darlington LG</w:t>
        </w:r>
      </w:hyperlink>
      <w:r w:rsidR="00942933" w:rsidRPr="00DD6FE7">
        <w:rPr>
          <w:rFonts w:ascii="Arial" w:eastAsia="Times New Roman" w:hAnsi="Arial" w:cs="Arial"/>
          <w:sz w:val="20"/>
          <w:szCs w:val="20"/>
          <w:lang w:val="en-US" w:eastAsia="de-DE"/>
        </w:rPr>
        <w:t xml:space="preserve">, </w:t>
      </w:r>
      <w:hyperlink r:id="rId21" w:history="1">
        <w:r w:rsidR="00942933" w:rsidRPr="00DD6FE7">
          <w:rPr>
            <w:rFonts w:ascii="Arial" w:eastAsia="Times New Roman" w:hAnsi="Arial" w:cs="Arial"/>
            <w:color w:val="2F4A8B"/>
            <w:sz w:val="20"/>
            <w:szCs w:val="20"/>
            <w:u w:val="single"/>
            <w:lang w:val="en-US" w:eastAsia="de-DE"/>
          </w:rPr>
          <w:t>Stone TW</w:t>
        </w:r>
      </w:hyperlink>
      <w:r w:rsidR="00942933" w:rsidRPr="00DD6FE7">
        <w:rPr>
          <w:rFonts w:ascii="Arial" w:eastAsia="Times New Roman" w:hAnsi="Arial" w:cs="Arial"/>
          <w:sz w:val="20"/>
          <w:szCs w:val="20"/>
          <w:lang w:val="en-US" w:eastAsia="de-DE"/>
        </w:rPr>
        <w:t>.</w:t>
      </w:r>
      <w:proofErr w:type="gramEnd"/>
    </w:p>
    <w:p w:rsidR="00942933" w:rsidRPr="00942933" w:rsidRDefault="00C2653A" w:rsidP="00942933">
      <w:pPr>
        <w:shd w:val="clear" w:color="auto" w:fill="FFFFFF"/>
        <w:spacing w:before="308" w:after="154" w:line="240" w:lineRule="auto"/>
        <w:outlineLvl w:val="2"/>
        <w:rPr>
          <w:rFonts w:ascii="Arial" w:eastAsia="Times New Roman" w:hAnsi="Arial" w:cs="Arial"/>
          <w:b/>
          <w:bCs/>
          <w:color w:val="724128"/>
          <w:lang w:eastAsia="de-DE"/>
        </w:rPr>
      </w:pPr>
      <w:hyperlink r:id="rId22" w:tooltip="Open/close author information list" w:history="1">
        <w:proofErr w:type="spellStart"/>
        <w:r w:rsidR="00942933" w:rsidRPr="00942933">
          <w:rPr>
            <w:rFonts w:ascii="Arial" w:eastAsia="Times New Roman" w:hAnsi="Arial" w:cs="Arial"/>
            <w:b/>
            <w:bCs/>
            <w:color w:val="2F4A8B"/>
            <w:u w:val="single"/>
            <w:lang w:eastAsia="de-DE"/>
          </w:rPr>
          <w:t>Author</w:t>
        </w:r>
        <w:proofErr w:type="spellEnd"/>
        <w:r w:rsidR="00942933" w:rsidRPr="00942933">
          <w:rPr>
            <w:rFonts w:ascii="Arial" w:eastAsia="Times New Roman" w:hAnsi="Arial" w:cs="Arial"/>
            <w:b/>
            <w:bCs/>
            <w:color w:val="2F4A8B"/>
            <w:u w:val="single"/>
            <w:lang w:eastAsia="de-DE"/>
          </w:rPr>
          <w:t xml:space="preserve"> </w:t>
        </w:r>
        <w:proofErr w:type="spellStart"/>
        <w:r w:rsidR="00942933" w:rsidRPr="00942933">
          <w:rPr>
            <w:rFonts w:ascii="Arial" w:eastAsia="Times New Roman" w:hAnsi="Arial" w:cs="Arial"/>
            <w:b/>
            <w:bCs/>
            <w:color w:val="2F4A8B"/>
            <w:u w:val="single"/>
            <w:lang w:eastAsia="de-DE"/>
          </w:rPr>
          <w:t>information</w:t>
        </w:r>
        <w:proofErr w:type="spellEnd"/>
      </w:hyperlink>
    </w:p>
    <w:p w:rsidR="00942933" w:rsidRPr="00DD6FE7" w:rsidRDefault="00942933" w:rsidP="00942933">
      <w:pPr>
        <w:numPr>
          <w:ilvl w:val="0"/>
          <w:numId w:val="1"/>
        </w:numPr>
        <w:shd w:val="clear" w:color="auto" w:fill="FFFFFF"/>
        <w:spacing w:before="100" w:beforeAutospacing="1" w:after="100" w:afterAutospacing="1" w:line="240" w:lineRule="auto"/>
        <w:rPr>
          <w:rFonts w:ascii="Arial" w:eastAsia="Times New Roman" w:hAnsi="Arial" w:cs="Arial"/>
          <w:sz w:val="20"/>
          <w:szCs w:val="20"/>
          <w:lang w:val="en-US" w:eastAsia="de-DE"/>
        </w:rPr>
      </w:pPr>
      <w:r w:rsidRPr="00DD6FE7">
        <w:rPr>
          <w:rFonts w:ascii="Arial" w:eastAsia="Times New Roman" w:hAnsi="Arial" w:cs="Arial"/>
          <w:sz w:val="17"/>
          <w:szCs w:val="17"/>
          <w:vertAlign w:val="superscript"/>
          <w:lang w:val="en-US" w:eastAsia="de-DE"/>
        </w:rPr>
        <w:t>1</w:t>
      </w:r>
      <w:r w:rsidRPr="00DD6FE7">
        <w:rPr>
          <w:rFonts w:ascii="Arial" w:eastAsia="Times New Roman" w:hAnsi="Arial" w:cs="Arial"/>
          <w:sz w:val="20"/>
          <w:szCs w:val="20"/>
          <w:lang w:val="en-US" w:eastAsia="de-DE"/>
        </w:rPr>
        <w:t>Institute of Biomedical &amp; Life Sciences, West Medical Building, University of Glasgow, Glasgow G12 8QQ.</w:t>
      </w:r>
    </w:p>
    <w:p w:rsidR="00942933" w:rsidRPr="00DD6FE7" w:rsidRDefault="00942933" w:rsidP="00942933">
      <w:pPr>
        <w:shd w:val="clear" w:color="auto" w:fill="FFFFFF"/>
        <w:spacing w:before="308" w:after="154" w:line="240" w:lineRule="auto"/>
        <w:outlineLvl w:val="2"/>
        <w:rPr>
          <w:rFonts w:ascii="Arial" w:eastAsia="Times New Roman" w:hAnsi="Arial" w:cs="Arial"/>
          <w:b/>
          <w:bCs/>
          <w:color w:val="724128"/>
          <w:lang w:val="en-US" w:eastAsia="de-DE"/>
        </w:rPr>
      </w:pPr>
      <w:r w:rsidRPr="00DD6FE7">
        <w:rPr>
          <w:rFonts w:ascii="Arial" w:eastAsia="Times New Roman" w:hAnsi="Arial" w:cs="Arial"/>
          <w:b/>
          <w:bCs/>
          <w:color w:val="724128"/>
          <w:lang w:val="en-US" w:eastAsia="de-DE"/>
        </w:rPr>
        <w:t>Abstract</w:t>
      </w:r>
    </w:p>
    <w:p w:rsidR="00942933" w:rsidRPr="00DD6FE7" w:rsidRDefault="00942933" w:rsidP="00942933">
      <w:pPr>
        <w:shd w:val="clear" w:color="auto" w:fill="FFFFFF"/>
        <w:spacing w:before="100" w:beforeAutospacing="1" w:after="100" w:afterAutospacing="1" w:line="240" w:lineRule="auto"/>
        <w:rPr>
          <w:rFonts w:ascii="Arial" w:eastAsia="Times New Roman" w:hAnsi="Arial" w:cs="Arial"/>
          <w:sz w:val="20"/>
          <w:szCs w:val="20"/>
          <w:lang w:val="en-US" w:eastAsia="de-DE"/>
        </w:rPr>
      </w:pPr>
      <w:r w:rsidRPr="00DD6FE7">
        <w:rPr>
          <w:rFonts w:ascii="Arial" w:eastAsia="Times New Roman" w:hAnsi="Arial" w:cs="Arial"/>
          <w:sz w:val="20"/>
          <w:szCs w:val="20"/>
          <w:lang w:val="en-US" w:eastAsia="de-DE"/>
        </w:rPr>
        <w:t xml:space="preserve">1. There are differences between the </w:t>
      </w:r>
      <w:proofErr w:type="spellStart"/>
      <w:r w:rsidRPr="00DD6FE7">
        <w:rPr>
          <w:rFonts w:ascii="Arial" w:eastAsia="Times New Roman" w:hAnsi="Arial" w:cs="Arial"/>
          <w:sz w:val="20"/>
          <w:szCs w:val="20"/>
          <w:lang w:val="en-US" w:eastAsia="de-DE"/>
        </w:rPr>
        <w:t>excitotoxic</w:t>
      </w:r>
      <w:proofErr w:type="spellEnd"/>
      <w:r w:rsidRPr="00DD6FE7">
        <w:rPr>
          <w:rFonts w:ascii="Arial" w:eastAsia="Times New Roman" w:hAnsi="Arial" w:cs="Arial"/>
          <w:sz w:val="20"/>
          <w:szCs w:val="20"/>
          <w:lang w:val="en-US" w:eastAsia="de-DE"/>
        </w:rPr>
        <w:t xml:space="preserve"> actions of </w:t>
      </w:r>
      <w:proofErr w:type="spellStart"/>
      <w:r w:rsidRPr="00DD6FE7">
        <w:rPr>
          <w:rFonts w:ascii="Arial" w:eastAsia="Times New Roman" w:hAnsi="Arial" w:cs="Arial"/>
          <w:sz w:val="20"/>
          <w:szCs w:val="20"/>
          <w:lang w:val="en-US" w:eastAsia="de-DE"/>
        </w:rPr>
        <w:t>quinolinic</w:t>
      </w:r>
      <w:proofErr w:type="spellEnd"/>
      <w:r w:rsidRPr="00DD6FE7">
        <w:rPr>
          <w:rFonts w:ascii="Arial" w:eastAsia="Times New Roman" w:hAnsi="Arial" w:cs="Arial"/>
          <w:sz w:val="20"/>
          <w:szCs w:val="20"/>
          <w:lang w:val="en-US" w:eastAsia="de-DE"/>
        </w:rPr>
        <w:t xml:space="preserve"> acid and N-methyl-D-aspartate (NMDA) which suggest that </w:t>
      </w:r>
      <w:proofErr w:type="spellStart"/>
      <w:r w:rsidRPr="00DD6FE7">
        <w:rPr>
          <w:rFonts w:ascii="Arial" w:eastAsia="Times New Roman" w:hAnsi="Arial" w:cs="Arial"/>
          <w:sz w:val="20"/>
          <w:szCs w:val="20"/>
          <w:lang w:val="en-US" w:eastAsia="de-DE"/>
        </w:rPr>
        <w:t>quinolinic</w:t>
      </w:r>
      <w:proofErr w:type="spellEnd"/>
      <w:r w:rsidRPr="00DD6FE7">
        <w:rPr>
          <w:rFonts w:ascii="Arial" w:eastAsia="Times New Roman" w:hAnsi="Arial" w:cs="Arial"/>
          <w:sz w:val="20"/>
          <w:szCs w:val="20"/>
          <w:lang w:val="en-US" w:eastAsia="de-DE"/>
        </w:rPr>
        <w:t xml:space="preserve"> acid may act by mechanisms additional to the activation of NMDA receptors. The present study was designed to examine the effect of a potent antioxidant, melatonin, and the potential </w:t>
      </w:r>
      <w:proofErr w:type="spellStart"/>
      <w:r w:rsidRPr="00DD6FE7">
        <w:rPr>
          <w:rFonts w:ascii="Arial" w:eastAsia="Times New Roman" w:hAnsi="Arial" w:cs="Arial"/>
          <w:sz w:val="20"/>
          <w:szCs w:val="20"/>
          <w:lang w:val="en-US" w:eastAsia="de-DE"/>
        </w:rPr>
        <w:t>neuroprotectant</w:t>
      </w:r>
      <w:proofErr w:type="spellEnd"/>
      <w:r w:rsidRPr="00DD6FE7">
        <w:rPr>
          <w:rFonts w:ascii="Arial" w:eastAsia="Times New Roman" w:hAnsi="Arial" w:cs="Arial"/>
          <w:sz w:val="20"/>
          <w:szCs w:val="20"/>
          <w:lang w:val="en-US" w:eastAsia="de-DE"/>
        </w:rPr>
        <w:t xml:space="preserve">, </w:t>
      </w:r>
      <w:proofErr w:type="spellStart"/>
      <w:r w:rsidRPr="00DD6FE7">
        <w:rPr>
          <w:rFonts w:ascii="Arial" w:eastAsia="Times New Roman" w:hAnsi="Arial" w:cs="Arial"/>
          <w:sz w:val="20"/>
          <w:szCs w:val="20"/>
          <w:lang w:val="en-US" w:eastAsia="de-DE"/>
        </w:rPr>
        <w:t>deprenyl</w:t>
      </w:r>
      <w:proofErr w:type="spellEnd"/>
      <w:r w:rsidRPr="00DD6FE7">
        <w:rPr>
          <w:rFonts w:ascii="Arial" w:eastAsia="Times New Roman" w:hAnsi="Arial" w:cs="Arial"/>
          <w:sz w:val="20"/>
          <w:szCs w:val="20"/>
          <w:lang w:val="en-US" w:eastAsia="de-DE"/>
        </w:rPr>
        <w:t xml:space="preserve">, as inhibitors of </w:t>
      </w:r>
      <w:proofErr w:type="spellStart"/>
      <w:r w:rsidRPr="00DD6FE7">
        <w:rPr>
          <w:rFonts w:ascii="Arial" w:eastAsia="Times New Roman" w:hAnsi="Arial" w:cs="Arial"/>
          <w:sz w:val="20"/>
          <w:szCs w:val="20"/>
          <w:lang w:val="en-US" w:eastAsia="de-DE"/>
        </w:rPr>
        <w:t>quinolinic</w:t>
      </w:r>
      <w:proofErr w:type="spellEnd"/>
      <w:r w:rsidRPr="00DD6FE7">
        <w:rPr>
          <w:rFonts w:ascii="Arial" w:eastAsia="Times New Roman" w:hAnsi="Arial" w:cs="Arial"/>
          <w:sz w:val="20"/>
          <w:szCs w:val="20"/>
          <w:lang w:val="en-US" w:eastAsia="de-DE"/>
        </w:rPr>
        <w:t xml:space="preserve"> acid-induced brain damage. Injections were made into the hippocampus of anaesthetized rats, which were allowed to recover before the brains were taken for histology and the counting of surviving </w:t>
      </w:r>
      <w:proofErr w:type="spellStart"/>
      <w:r w:rsidRPr="00DD6FE7">
        <w:rPr>
          <w:rFonts w:ascii="Arial" w:eastAsia="Times New Roman" w:hAnsi="Arial" w:cs="Arial"/>
          <w:sz w:val="20"/>
          <w:szCs w:val="20"/>
          <w:lang w:val="en-US" w:eastAsia="de-DE"/>
        </w:rPr>
        <w:t>neurones</w:t>
      </w:r>
      <w:proofErr w:type="spellEnd"/>
      <w:r w:rsidRPr="00DD6FE7">
        <w:rPr>
          <w:rFonts w:ascii="Arial" w:eastAsia="Times New Roman" w:hAnsi="Arial" w:cs="Arial"/>
          <w:sz w:val="20"/>
          <w:szCs w:val="20"/>
          <w:lang w:val="en-US" w:eastAsia="de-DE"/>
        </w:rPr>
        <w:t xml:space="preserve">. 2. </w:t>
      </w:r>
      <w:proofErr w:type="spellStart"/>
      <w:r w:rsidRPr="00DD6FE7">
        <w:rPr>
          <w:rFonts w:ascii="Arial" w:eastAsia="Times New Roman" w:hAnsi="Arial" w:cs="Arial"/>
          <w:sz w:val="20"/>
          <w:szCs w:val="20"/>
          <w:lang w:val="en-US" w:eastAsia="de-DE"/>
        </w:rPr>
        <w:t>Quinolinic</w:t>
      </w:r>
      <w:proofErr w:type="spellEnd"/>
      <w:r w:rsidRPr="00DD6FE7">
        <w:rPr>
          <w:rFonts w:ascii="Arial" w:eastAsia="Times New Roman" w:hAnsi="Arial" w:cs="Arial"/>
          <w:sz w:val="20"/>
          <w:szCs w:val="20"/>
          <w:lang w:val="en-US" w:eastAsia="de-DE"/>
        </w:rPr>
        <w:t xml:space="preserve"> acid (120 </w:t>
      </w:r>
      <w:proofErr w:type="spellStart"/>
      <w:r w:rsidRPr="00DD6FE7">
        <w:rPr>
          <w:rFonts w:ascii="Arial" w:eastAsia="Times New Roman" w:hAnsi="Arial" w:cs="Arial"/>
          <w:sz w:val="20"/>
          <w:szCs w:val="20"/>
          <w:lang w:val="en-US" w:eastAsia="de-DE"/>
        </w:rPr>
        <w:t>nmols</w:t>
      </w:r>
      <w:proofErr w:type="spellEnd"/>
      <w:r w:rsidRPr="00DD6FE7">
        <w:rPr>
          <w:rFonts w:ascii="Arial" w:eastAsia="Times New Roman" w:hAnsi="Arial" w:cs="Arial"/>
          <w:sz w:val="20"/>
          <w:szCs w:val="20"/>
          <w:lang w:val="en-US" w:eastAsia="de-DE"/>
        </w:rPr>
        <w:t xml:space="preserve">) induced damage to the pyramidal cell layer, which was prevented by the co-administration of melatonin (5 </w:t>
      </w:r>
      <w:proofErr w:type="spellStart"/>
      <w:r w:rsidRPr="00DD6FE7">
        <w:rPr>
          <w:rFonts w:ascii="Arial" w:eastAsia="Times New Roman" w:hAnsi="Arial" w:cs="Arial"/>
          <w:sz w:val="20"/>
          <w:szCs w:val="20"/>
          <w:lang w:val="en-US" w:eastAsia="de-DE"/>
        </w:rPr>
        <w:t>nmols</w:t>
      </w:r>
      <w:proofErr w:type="spellEnd"/>
      <w:r w:rsidRPr="00DD6FE7">
        <w:rPr>
          <w:rFonts w:ascii="Arial" w:eastAsia="Times New Roman" w:hAnsi="Arial" w:cs="Arial"/>
          <w:sz w:val="20"/>
          <w:szCs w:val="20"/>
          <w:lang w:val="en-US" w:eastAsia="de-DE"/>
        </w:rPr>
        <w:t xml:space="preserve"> locally plus 2x20 mg kg(-1) </w:t>
      </w:r>
      <w:proofErr w:type="spellStart"/>
      <w:r w:rsidRPr="00DD6FE7">
        <w:rPr>
          <w:rFonts w:ascii="Arial" w:eastAsia="Times New Roman" w:hAnsi="Arial" w:cs="Arial"/>
          <w:sz w:val="20"/>
          <w:szCs w:val="20"/>
          <w:lang w:val="en-US" w:eastAsia="de-DE"/>
        </w:rPr>
        <w:t>i.p</w:t>
      </w:r>
      <w:proofErr w:type="spellEnd"/>
      <w:r w:rsidRPr="00DD6FE7">
        <w:rPr>
          <w:rFonts w:ascii="Arial" w:eastAsia="Times New Roman" w:hAnsi="Arial" w:cs="Arial"/>
          <w:sz w:val="20"/>
          <w:szCs w:val="20"/>
          <w:lang w:val="en-US" w:eastAsia="de-DE"/>
        </w:rPr>
        <w:t xml:space="preserve">.). This protective effect was not prevented by the melatonin receptor blocker </w:t>
      </w:r>
      <w:proofErr w:type="spellStart"/>
      <w:r w:rsidRPr="00DD6FE7">
        <w:rPr>
          <w:rFonts w:ascii="Arial" w:eastAsia="Times New Roman" w:hAnsi="Arial" w:cs="Arial"/>
          <w:sz w:val="20"/>
          <w:szCs w:val="20"/>
          <w:lang w:val="en-US" w:eastAsia="de-DE"/>
        </w:rPr>
        <w:t>luzindole</w:t>
      </w:r>
      <w:proofErr w:type="spellEnd"/>
      <w:r w:rsidRPr="00DD6FE7">
        <w:rPr>
          <w:rFonts w:ascii="Arial" w:eastAsia="Times New Roman" w:hAnsi="Arial" w:cs="Arial"/>
          <w:sz w:val="20"/>
          <w:szCs w:val="20"/>
          <w:lang w:val="en-US" w:eastAsia="de-DE"/>
        </w:rPr>
        <w:t xml:space="preserve">. Neuronal damage produced by NMDA (120 </w:t>
      </w:r>
      <w:proofErr w:type="spellStart"/>
      <w:r w:rsidRPr="00DD6FE7">
        <w:rPr>
          <w:rFonts w:ascii="Arial" w:eastAsia="Times New Roman" w:hAnsi="Arial" w:cs="Arial"/>
          <w:sz w:val="20"/>
          <w:szCs w:val="20"/>
          <w:lang w:val="en-US" w:eastAsia="de-DE"/>
        </w:rPr>
        <w:t>nmols</w:t>
      </w:r>
      <w:proofErr w:type="spellEnd"/>
      <w:r w:rsidRPr="00DD6FE7">
        <w:rPr>
          <w:rFonts w:ascii="Arial" w:eastAsia="Times New Roman" w:hAnsi="Arial" w:cs="Arial"/>
          <w:sz w:val="20"/>
          <w:szCs w:val="20"/>
          <w:lang w:val="en-US" w:eastAsia="de-DE"/>
        </w:rPr>
        <w:t xml:space="preserve">) was not prevented by melatonin. 3. </w:t>
      </w:r>
      <w:proofErr w:type="spellStart"/>
      <w:r w:rsidRPr="00DD6FE7">
        <w:rPr>
          <w:rFonts w:ascii="Arial" w:eastAsia="Times New Roman" w:hAnsi="Arial" w:cs="Arial"/>
          <w:sz w:val="20"/>
          <w:szCs w:val="20"/>
          <w:lang w:val="en-US" w:eastAsia="de-DE"/>
        </w:rPr>
        <w:t>Quinolinic</w:t>
      </w:r>
      <w:proofErr w:type="spellEnd"/>
      <w:r w:rsidRPr="00DD6FE7">
        <w:rPr>
          <w:rFonts w:ascii="Arial" w:eastAsia="Times New Roman" w:hAnsi="Arial" w:cs="Arial"/>
          <w:sz w:val="20"/>
          <w:szCs w:val="20"/>
          <w:lang w:val="en-US" w:eastAsia="de-DE"/>
        </w:rPr>
        <w:t xml:space="preserve"> acid increased the formation of lipid peroxidation products from hippocampal tissue and this effect was prevented by melatonin. 4. </w:t>
      </w:r>
      <w:proofErr w:type="spellStart"/>
      <w:r w:rsidRPr="00DD6FE7">
        <w:rPr>
          <w:rFonts w:ascii="Arial" w:eastAsia="Times New Roman" w:hAnsi="Arial" w:cs="Arial"/>
          <w:sz w:val="20"/>
          <w:szCs w:val="20"/>
          <w:lang w:val="en-US" w:eastAsia="de-DE"/>
        </w:rPr>
        <w:t>Deprenyl</w:t>
      </w:r>
      <w:proofErr w:type="spellEnd"/>
      <w:r w:rsidRPr="00DD6FE7">
        <w:rPr>
          <w:rFonts w:ascii="Arial" w:eastAsia="Times New Roman" w:hAnsi="Arial" w:cs="Arial"/>
          <w:sz w:val="20"/>
          <w:szCs w:val="20"/>
          <w:lang w:val="en-US" w:eastAsia="de-DE"/>
        </w:rPr>
        <w:t xml:space="preserve"> also prevented </w:t>
      </w:r>
      <w:proofErr w:type="spellStart"/>
      <w:r w:rsidRPr="00DD6FE7">
        <w:rPr>
          <w:rFonts w:ascii="Arial" w:eastAsia="Times New Roman" w:hAnsi="Arial" w:cs="Arial"/>
          <w:sz w:val="20"/>
          <w:szCs w:val="20"/>
          <w:lang w:val="en-US" w:eastAsia="de-DE"/>
        </w:rPr>
        <w:t>quinolinic</w:t>
      </w:r>
      <w:proofErr w:type="spellEnd"/>
      <w:r w:rsidRPr="00DD6FE7">
        <w:rPr>
          <w:rFonts w:ascii="Arial" w:eastAsia="Times New Roman" w:hAnsi="Arial" w:cs="Arial"/>
          <w:sz w:val="20"/>
          <w:szCs w:val="20"/>
          <w:lang w:val="en-US" w:eastAsia="de-DE"/>
        </w:rPr>
        <w:t xml:space="preserve"> acid-induced damage at a dose of 50 </w:t>
      </w:r>
      <w:proofErr w:type="spellStart"/>
      <w:r w:rsidRPr="00DD6FE7">
        <w:rPr>
          <w:rFonts w:ascii="Arial" w:eastAsia="Times New Roman" w:hAnsi="Arial" w:cs="Arial"/>
          <w:sz w:val="20"/>
          <w:szCs w:val="20"/>
          <w:lang w:val="en-US" w:eastAsia="de-DE"/>
        </w:rPr>
        <w:t>nmols</w:t>
      </w:r>
      <w:proofErr w:type="spellEnd"/>
      <w:r w:rsidRPr="00DD6FE7">
        <w:rPr>
          <w:rFonts w:ascii="Arial" w:eastAsia="Times New Roman" w:hAnsi="Arial" w:cs="Arial"/>
          <w:sz w:val="20"/>
          <w:szCs w:val="20"/>
          <w:lang w:val="en-US" w:eastAsia="de-DE"/>
        </w:rPr>
        <w:t xml:space="preserve"> but not 10 </w:t>
      </w:r>
      <w:proofErr w:type="spellStart"/>
      <w:r w:rsidRPr="00DD6FE7">
        <w:rPr>
          <w:rFonts w:ascii="Arial" w:eastAsia="Times New Roman" w:hAnsi="Arial" w:cs="Arial"/>
          <w:sz w:val="20"/>
          <w:szCs w:val="20"/>
          <w:lang w:val="en-US" w:eastAsia="de-DE"/>
        </w:rPr>
        <w:t>nmols</w:t>
      </w:r>
      <w:proofErr w:type="spellEnd"/>
      <w:r w:rsidRPr="00DD6FE7">
        <w:rPr>
          <w:rFonts w:ascii="Arial" w:eastAsia="Times New Roman" w:hAnsi="Arial" w:cs="Arial"/>
          <w:sz w:val="20"/>
          <w:szCs w:val="20"/>
          <w:lang w:val="en-US" w:eastAsia="de-DE"/>
        </w:rPr>
        <w:t xml:space="preserve"> plus 2x1.0 mg kg(-1) </w:t>
      </w:r>
      <w:proofErr w:type="spellStart"/>
      <w:r w:rsidRPr="00DD6FE7">
        <w:rPr>
          <w:rFonts w:ascii="Arial" w:eastAsia="Times New Roman" w:hAnsi="Arial" w:cs="Arial"/>
          <w:sz w:val="20"/>
          <w:szCs w:val="20"/>
          <w:lang w:val="en-US" w:eastAsia="de-DE"/>
        </w:rPr>
        <w:t>i.p</w:t>
      </w:r>
      <w:proofErr w:type="spellEnd"/>
      <w:r w:rsidRPr="00DD6FE7">
        <w:rPr>
          <w:rFonts w:ascii="Arial" w:eastAsia="Times New Roman" w:hAnsi="Arial" w:cs="Arial"/>
          <w:sz w:val="20"/>
          <w:szCs w:val="20"/>
          <w:lang w:val="en-US" w:eastAsia="de-DE"/>
        </w:rPr>
        <w:t xml:space="preserve">. The non-selective monoamine oxidase inhibitor </w:t>
      </w:r>
      <w:proofErr w:type="spellStart"/>
      <w:r w:rsidRPr="00DD6FE7">
        <w:rPr>
          <w:rFonts w:ascii="Arial" w:eastAsia="Times New Roman" w:hAnsi="Arial" w:cs="Arial"/>
          <w:sz w:val="20"/>
          <w:szCs w:val="20"/>
          <w:lang w:val="en-US" w:eastAsia="de-DE"/>
        </w:rPr>
        <w:t>nialamide</w:t>
      </w:r>
      <w:proofErr w:type="spellEnd"/>
      <w:r w:rsidRPr="00DD6FE7">
        <w:rPr>
          <w:rFonts w:ascii="Arial" w:eastAsia="Times New Roman" w:hAnsi="Arial" w:cs="Arial"/>
          <w:sz w:val="20"/>
          <w:szCs w:val="20"/>
          <w:lang w:val="en-US" w:eastAsia="de-DE"/>
        </w:rPr>
        <w:t xml:space="preserve"> (10 and 50 </w:t>
      </w:r>
      <w:proofErr w:type="spellStart"/>
      <w:r w:rsidRPr="00DD6FE7">
        <w:rPr>
          <w:rFonts w:ascii="Arial" w:eastAsia="Times New Roman" w:hAnsi="Arial" w:cs="Arial"/>
          <w:sz w:val="20"/>
          <w:szCs w:val="20"/>
          <w:lang w:val="en-US" w:eastAsia="de-DE"/>
        </w:rPr>
        <w:t>nmols</w:t>
      </w:r>
      <w:proofErr w:type="spellEnd"/>
      <w:r w:rsidRPr="00DD6FE7">
        <w:rPr>
          <w:rFonts w:ascii="Arial" w:eastAsia="Times New Roman" w:hAnsi="Arial" w:cs="Arial"/>
          <w:sz w:val="20"/>
          <w:szCs w:val="20"/>
          <w:lang w:val="en-US" w:eastAsia="de-DE"/>
        </w:rPr>
        <w:t xml:space="preserve"> plus 2x25 mg kg(-1)) did not afford protection. 5. The results suggest that </w:t>
      </w:r>
      <w:proofErr w:type="spellStart"/>
      <w:r w:rsidRPr="00DD6FE7">
        <w:rPr>
          <w:rFonts w:ascii="Arial" w:eastAsia="Times New Roman" w:hAnsi="Arial" w:cs="Arial"/>
          <w:sz w:val="20"/>
          <w:szCs w:val="20"/>
          <w:lang w:val="en-US" w:eastAsia="de-DE"/>
        </w:rPr>
        <w:t>quinolinic</w:t>
      </w:r>
      <w:proofErr w:type="spellEnd"/>
      <w:r w:rsidRPr="00DD6FE7">
        <w:rPr>
          <w:rFonts w:ascii="Arial" w:eastAsia="Times New Roman" w:hAnsi="Arial" w:cs="Arial"/>
          <w:sz w:val="20"/>
          <w:szCs w:val="20"/>
          <w:lang w:val="en-US" w:eastAsia="de-DE"/>
        </w:rPr>
        <w:t xml:space="preserve"> acid-induced neuronal damage can be prevented by a receptor-independent action of melatonin and </w:t>
      </w:r>
      <w:proofErr w:type="spellStart"/>
      <w:r w:rsidRPr="00DD6FE7">
        <w:rPr>
          <w:rFonts w:ascii="Arial" w:eastAsia="Times New Roman" w:hAnsi="Arial" w:cs="Arial"/>
          <w:sz w:val="20"/>
          <w:szCs w:val="20"/>
          <w:lang w:val="en-US" w:eastAsia="de-DE"/>
        </w:rPr>
        <w:t>deprenyl</w:t>
      </w:r>
      <w:proofErr w:type="spellEnd"/>
      <w:r w:rsidRPr="00DD6FE7">
        <w:rPr>
          <w:rFonts w:ascii="Arial" w:eastAsia="Times New Roman" w:hAnsi="Arial" w:cs="Arial"/>
          <w:sz w:val="20"/>
          <w:szCs w:val="20"/>
          <w:lang w:val="en-US" w:eastAsia="de-DE"/>
        </w:rPr>
        <w:t xml:space="preserve">, agents which can act as a potent free radical scavenger and can increase the activity of endogenous antioxidant enzymes respectively. This suggests that free radical formation contributes significantly to </w:t>
      </w:r>
      <w:proofErr w:type="spellStart"/>
      <w:r w:rsidRPr="00DD6FE7">
        <w:rPr>
          <w:rFonts w:ascii="Arial" w:eastAsia="Times New Roman" w:hAnsi="Arial" w:cs="Arial"/>
          <w:sz w:val="20"/>
          <w:szCs w:val="20"/>
          <w:lang w:val="en-US" w:eastAsia="de-DE"/>
        </w:rPr>
        <w:t>quinolinic</w:t>
      </w:r>
      <w:proofErr w:type="spellEnd"/>
      <w:r w:rsidRPr="00DD6FE7">
        <w:rPr>
          <w:rFonts w:ascii="Arial" w:eastAsia="Times New Roman" w:hAnsi="Arial" w:cs="Arial"/>
          <w:sz w:val="20"/>
          <w:szCs w:val="20"/>
          <w:lang w:val="en-US" w:eastAsia="de-DE"/>
        </w:rPr>
        <w:t xml:space="preserve"> acid-induced damage in vivo.</w:t>
      </w:r>
    </w:p>
    <w:p w:rsidR="0064547D" w:rsidRDefault="0064547D" w:rsidP="0064547D">
      <w:pPr>
        <w:rPr>
          <w:rFonts w:ascii="Segoe UI" w:hAnsi="Segoe UI" w:cs="Segoe UI"/>
          <w:sz w:val="18"/>
          <w:szCs w:val="18"/>
        </w:rPr>
      </w:pPr>
    </w:p>
    <w:p w:rsidR="0064547D" w:rsidRDefault="0064547D" w:rsidP="0064547D">
      <w:pPr>
        <w:rPr>
          <w:rFonts w:ascii="Segoe UI" w:hAnsi="Segoe UI" w:cs="Segoe UI"/>
          <w:sz w:val="18"/>
          <w:szCs w:val="18"/>
        </w:rPr>
      </w:pPr>
    </w:p>
    <w:p w:rsidR="0064547D" w:rsidRDefault="0064547D" w:rsidP="0064547D">
      <w:pPr>
        <w:rPr>
          <w:rFonts w:ascii="Segoe UI" w:hAnsi="Segoe UI" w:cs="Segoe UI"/>
          <w:sz w:val="20"/>
          <w:szCs w:val="20"/>
        </w:rPr>
      </w:pPr>
      <w:r>
        <w:rPr>
          <w:rFonts w:ascii="Segoe UI" w:hAnsi="Segoe UI" w:cs="Segoe UI"/>
          <w:sz w:val="20"/>
          <w:szCs w:val="20"/>
        </w:rPr>
        <w:t xml:space="preserve">FQ-spezifische Biomarker: </w:t>
      </w:r>
    </w:p>
    <w:p w:rsidR="0064547D" w:rsidRDefault="0064547D" w:rsidP="0064547D">
      <w:pPr>
        <w:pStyle w:val="StandardWeb"/>
        <w:spacing w:after="0" w:afterAutospacing="0"/>
        <w:rPr>
          <w:rFonts w:ascii="Segoe UI" w:hAnsi="Segoe UI" w:cs="Segoe UI"/>
          <w:sz w:val="20"/>
          <w:szCs w:val="20"/>
        </w:rPr>
      </w:pPr>
      <w:r>
        <w:rPr>
          <w:rFonts w:ascii="Segoe UI" w:hAnsi="Segoe UI" w:cs="Segoe UI"/>
          <w:sz w:val="20"/>
          <w:szCs w:val="20"/>
        </w:rPr>
        <w:t xml:space="preserve">Ich habe mich gefragt, inwiefern es einen Zusammenhang zwischen </w:t>
      </w:r>
      <w:proofErr w:type="spellStart"/>
      <w:r>
        <w:rPr>
          <w:rFonts w:ascii="Segoe UI" w:hAnsi="Segoe UI" w:cs="Segoe UI"/>
          <w:sz w:val="20"/>
          <w:szCs w:val="20"/>
        </w:rPr>
        <w:t>Fluorchinolonanwendung</w:t>
      </w:r>
      <w:proofErr w:type="spellEnd"/>
      <w:r>
        <w:rPr>
          <w:rFonts w:ascii="Segoe UI" w:hAnsi="Segoe UI" w:cs="Segoe UI"/>
          <w:sz w:val="20"/>
          <w:szCs w:val="20"/>
        </w:rPr>
        <w:t xml:space="preserve"> und längerfristig verminderter T-Helferzahl (CD4-Lymphozyten) einschließlich erniedrigter CD4/CD8-Ratio geben könnte. Zur diagnostischen Signifikanz dieser Parameter verweise ich auf eine </w:t>
      </w:r>
      <w:proofErr w:type="spellStart"/>
      <w:r>
        <w:rPr>
          <w:rFonts w:ascii="Segoe UI" w:hAnsi="Segoe UI" w:cs="Segoe UI"/>
          <w:sz w:val="20"/>
          <w:szCs w:val="20"/>
        </w:rPr>
        <w:t>Kohortenstudie</w:t>
      </w:r>
      <w:proofErr w:type="spellEnd"/>
      <w:r>
        <w:rPr>
          <w:rFonts w:ascii="Segoe UI" w:hAnsi="Segoe UI" w:cs="Segoe UI"/>
          <w:sz w:val="20"/>
          <w:szCs w:val="20"/>
        </w:rPr>
        <w:t xml:space="preserve">, in welcher die untersuchten </w:t>
      </w:r>
      <w:proofErr w:type="spellStart"/>
      <w:r>
        <w:rPr>
          <w:rFonts w:ascii="Segoe UI" w:hAnsi="Segoe UI" w:cs="Segoe UI"/>
          <w:sz w:val="20"/>
          <w:szCs w:val="20"/>
        </w:rPr>
        <w:t>Fluorchinolone</w:t>
      </w:r>
      <w:proofErr w:type="spellEnd"/>
      <w:r>
        <w:rPr>
          <w:rFonts w:ascii="Segoe UI" w:hAnsi="Segoe UI" w:cs="Segoe UI"/>
          <w:sz w:val="20"/>
          <w:szCs w:val="20"/>
        </w:rPr>
        <w:t xml:space="preserve"> </w:t>
      </w:r>
      <w:proofErr w:type="spellStart"/>
      <w:r>
        <w:rPr>
          <w:rFonts w:ascii="Segoe UI" w:hAnsi="Segoe UI" w:cs="Segoe UI"/>
          <w:sz w:val="20"/>
          <w:szCs w:val="20"/>
        </w:rPr>
        <w:t>Cipro</w:t>
      </w:r>
      <w:proofErr w:type="spellEnd"/>
      <w:r>
        <w:rPr>
          <w:rFonts w:ascii="Segoe UI" w:hAnsi="Segoe UI" w:cs="Segoe UI"/>
          <w:sz w:val="20"/>
          <w:szCs w:val="20"/>
        </w:rPr>
        <w:t xml:space="preserve">-, Nor- und </w:t>
      </w:r>
      <w:proofErr w:type="spellStart"/>
      <w:r>
        <w:rPr>
          <w:rFonts w:ascii="Segoe UI" w:hAnsi="Segoe UI" w:cs="Segoe UI"/>
          <w:sz w:val="20"/>
          <w:szCs w:val="20"/>
        </w:rPr>
        <w:t>Moxifloxacin</w:t>
      </w:r>
      <w:proofErr w:type="spellEnd"/>
      <w:r>
        <w:rPr>
          <w:rFonts w:ascii="Segoe UI" w:hAnsi="Segoe UI" w:cs="Segoe UI"/>
          <w:sz w:val="20"/>
          <w:szCs w:val="20"/>
        </w:rPr>
        <w:t xml:space="preserve"> bei exponierten Patienten eindeutig T-Zell-vermittelte Immunreaktionen provozierten (</w:t>
      </w:r>
      <w:hyperlink r:id="rId23" w:tgtFrame="_blank" w:history="1">
        <w:r>
          <w:rPr>
            <w:rStyle w:val="Hyperlink"/>
            <w:rFonts w:ascii="Segoe UI" w:hAnsi="Segoe UI" w:cs="Segoe UI"/>
            <w:sz w:val="20"/>
            <w:szCs w:val="20"/>
          </w:rPr>
          <w:t>https://www.ncbi.nlm.nih.gov/pubmed/16393267</w:t>
        </w:r>
      </w:hyperlink>
      <w:r>
        <w:rPr>
          <w:rFonts w:ascii="Segoe UI" w:hAnsi="Segoe UI" w:cs="Segoe UI"/>
          <w:sz w:val="20"/>
          <w:szCs w:val="20"/>
        </w:rPr>
        <w:t xml:space="preserve">). </w:t>
      </w:r>
      <w:r w:rsidRPr="00DD6FE7">
        <w:rPr>
          <w:rFonts w:ascii="Segoe UI" w:hAnsi="Segoe UI" w:cs="Segoe UI"/>
          <w:sz w:val="20"/>
          <w:szCs w:val="20"/>
          <w:lang w:val="en-US"/>
        </w:rPr>
        <w:t>In vitro-</w:t>
      </w:r>
      <w:proofErr w:type="spellStart"/>
      <w:r w:rsidRPr="00DD6FE7">
        <w:rPr>
          <w:rFonts w:ascii="Segoe UI" w:hAnsi="Segoe UI" w:cs="Segoe UI"/>
          <w:sz w:val="20"/>
          <w:szCs w:val="20"/>
          <w:lang w:val="en-US"/>
        </w:rPr>
        <w:t>Studien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legen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eine</w:t>
      </w:r>
      <w:proofErr w:type="spellEnd"/>
      <w:r w:rsidRPr="00DD6FE7">
        <w:rPr>
          <w:rFonts w:ascii="Segoe UI" w:hAnsi="Segoe UI" w:cs="Segoe UI"/>
          <w:sz w:val="20"/>
          <w:szCs w:val="20"/>
          <w:lang w:val="en-US"/>
        </w:rPr>
        <w:t xml:space="preserve"> FQ-</w:t>
      </w:r>
      <w:proofErr w:type="spellStart"/>
      <w:r w:rsidRPr="00DD6FE7">
        <w:rPr>
          <w:rFonts w:ascii="Segoe UI" w:hAnsi="Segoe UI" w:cs="Segoe UI"/>
          <w:sz w:val="20"/>
          <w:szCs w:val="20"/>
          <w:lang w:val="en-US"/>
        </w:rPr>
        <w:t>induzierte</w:t>
      </w:r>
      <w:proofErr w:type="spellEnd"/>
      <w:r w:rsidRPr="00DD6FE7">
        <w:rPr>
          <w:rFonts w:ascii="Segoe UI" w:hAnsi="Segoe UI" w:cs="Segoe UI"/>
          <w:sz w:val="20"/>
          <w:szCs w:val="20"/>
          <w:lang w:val="en-US"/>
        </w:rPr>
        <w:t xml:space="preserve"> Inhibition und </w:t>
      </w:r>
      <w:proofErr w:type="spellStart"/>
      <w:r w:rsidRPr="00DD6FE7">
        <w:rPr>
          <w:rFonts w:ascii="Segoe UI" w:hAnsi="Segoe UI" w:cs="Segoe UI"/>
          <w:sz w:val="20"/>
          <w:szCs w:val="20"/>
          <w:lang w:val="en-US"/>
        </w:rPr>
        <w:t>Reduktion</w:t>
      </w:r>
      <w:proofErr w:type="spellEnd"/>
      <w:r w:rsidRPr="00DD6FE7">
        <w:rPr>
          <w:rFonts w:ascii="Segoe UI" w:hAnsi="Segoe UI" w:cs="Segoe UI"/>
          <w:sz w:val="20"/>
          <w:szCs w:val="20"/>
          <w:lang w:val="en-US"/>
        </w:rPr>
        <w:t xml:space="preserve"> von CD4⁺ </w:t>
      </w:r>
      <w:proofErr w:type="spellStart"/>
      <w:r w:rsidRPr="00DD6FE7">
        <w:rPr>
          <w:rFonts w:ascii="Segoe UI" w:hAnsi="Segoe UI" w:cs="Segoe UI"/>
          <w:sz w:val="20"/>
          <w:szCs w:val="20"/>
          <w:lang w:val="en-US"/>
        </w:rPr>
        <w:t>nahe</w:t>
      </w:r>
      <w:proofErr w:type="spellEnd"/>
      <w:r w:rsidRPr="00DD6FE7">
        <w:rPr>
          <w:rFonts w:ascii="Segoe UI" w:hAnsi="Segoe UI" w:cs="Segoe UI"/>
          <w:sz w:val="20"/>
          <w:szCs w:val="20"/>
          <w:lang w:val="en-US"/>
        </w:rPr>
        <w:t xml:space="preserve"> („Analysis of variance indicated that moxifloxacin and ciprofloxacin decreased the number of cells expressing both IFN-</w:t>
      </w:r>
      <w:r>
        <w:rPr>
          <w:rFonts w:ascii="Segoe UI" w:hAnsi="Segoe UI" w:cs="Segoe UI"/>
          <w:sz w:val="20"/>
          <w:szCs w:val="20"/>
        </w:rPr>
        <w:t>γ</w:t>
      </w:r>
      <w:r w:rsidRPr="00DD6FE7">
        <w:rPr>
          <w:rFonts w:ascii="Segoe UI" w:hAnsi="Segoe UI" w:cs="Segoe UI"/>
          <w:sz w:val="20"/>
          <w:szCs w:val="20"/>
          <w:lang w:val="en-US"/>
        </w:rPr>
        <w:t xml:space="preserve"> and IL-4 in stimulated cells (all P &lt; 0.0001) in a concentration-dependent manner.“ </w:t>
      </w:r>
      <w:hyperlink r:id="rId24" w:tgtFrame="_blank" w:history="1">
        <w:r w:rsidRPr="00DD6FE7">
          <w:rPr>
            <w:rStyle w:val="Hyperlink"/>
            <w:rFonts w:ascii="Segoe UI" w:hAnsi="Segoe UI" w:cs="Segoe UI"/>
            <w:color w:val="0066CC"/>
            <w:sz w:val="20"/>
            <w:szCs w:val="20"/>
            <w:lang w:val="en-US"/>
          </w:rPr>
          <w:t>http://jac.oxfordjournals.org/content/56/3/502.full.pdf</w:t>
        </w:r>
      </w:hyperlink>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suggerieren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eine</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Beeinflussung</w:t>
      </w:r>
      <w:proofErr w:type="spellEnd"/>
      <w:r w:rsidRPr="00DD6FE7">
        <w:rPr>
          <w:rFonts w:ascii="Segoe UI" w:hAnsi="Segoe UI" w:cs="Segoe UI"/>
          <w:sz w:val="20"/>
          <w:szCs w:val="20"/>
          <w:lang w:val="en-US"/>
        </w:rPr>
        <w:t xml:space="preserve"> der </w:t>
      </w:r>
      <w:proofErr w:type="spellStart"/>
      <w:r w:rsidRPr="00DD6FE7">
        <w:rPr>
          <w:rFonts w:ascii="Segoe UI" w:hAnsi="Segoe UI" w:cs="Segoe UI"/>
          <w:sz w:val="20"/>
          <w:szCs w:val="20"/>
          <w:lang w:val="en-US"/>
        </w:rPr>
        <w:t>Genexpression</w:t>
      </w:r>
      <w:proofErr w:type="spellEnd"/>
      <w:r w:rsidRPr="00DD6FE7">
        <w:rPr>
          <w:rFonts w:ascii="Segoe UI" w:hAnsi="Segoe UI" w:cs="Segoe UI"/>
          <w:sz w:val="20"/>
          <w:szCs w:val="20"/>
          <w:lang w:val="en-US"/>
        </w:rPr>
        <w:t xml:space="preserve"> von CD4⁺ </w:t>
      </w:r>
      <w:proofErr w:type="spellStart"/>
      <w:r w:rsidRPr="00DD6FE7">
        <w:rPr>
          <w:rFonts w:ascii="Segoe UI" w:hAnsi="Segoe UI" w:cs="Segoe UI"/>
          <w:sz w:val="20"/>
          <w:szCs w:val="20"/>
          <w:lang w:val="en-US"/>
        </w:rPr>
        <w:t>nach</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kurzfristiger</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Inkubation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mit</w:t>
      </w:r>
      <w:proofErr w:type="spellEnd"/>
      <w:r w:rsidRPr="00DD6FE7">
        <w:rPr>
          <w:rFonts w:ascii="Segoe UI" w:hAnsi="Segoe UI" w:cs="Segoe UI"/>
          <w:sz w:val="20"/>
          <w:szCs w:val="20"/>
          <w:lang w:val="en-US"/>
        </w:rPr>
        <w:t xml:space="preserve"> Ciprofloxacin („At ≥3 h of incubation, a higher level of AP-1 binding was detected in CD4+ T-cell extracts purified from activated cells incubated with ciprofloxacin compared to that in drug-free controls.“ </w:t>
      </w:r>
      <w:hyperlink r:id="rId25" w:tgtFrame="_blank" w:history="1">
        <w:r w:rsidRPr="00DD6FE7">
          <w:rPr>
            <w:rStyle w:val="Hyperlink"/>
            <w:rFonts w:ascii="Segoe UI" w:hAnsi="Segoe UI" w:cs="Segoe UI"/>
            <w:color w:val="0066CC"/>
            <w:sz w:val="20"/>
            <w:szCs w:val="20"/>
            <w:lang w:val="en-US"/>
          </w:rPr>
          <w:t>https://www.ncbi.nlm.nih.gov/pmc/articles/PMC105711/</w:t>
        </w:r>
      </w:hyperlink>
      <w:r w:rsidRPr="00DD6FE7">
        <w:rPr>
          <w:rFonts w:ascii="Segoe UI" w:hAnsi="Segoe UI" w:cs="Segoe UI"/>
          <w:sz w:val="20"/>
          <w:szCs w:val="20"/>
          <w:lang w:val="en-US"/>
        </w:rPr>
        <w:t xml:space="preserve">) und </w:t>
      </w:r>
      <w:proofErr w:type="spellStart"/>
      <w:r w:rsidRPr="00DD6FE7">
        <w:rPr>
          <w:rFonts w:ascii="Segoe UI" w:hAnsi="Segoe UI" w:cs="Segoe UI"/>
          <w:sz w:val="20"/>
          <w:szCs w:val="20"/>
          <w:lang w:val="en-US"/>
        </w:rPr>
        <w:t>bestätigen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eine</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Reduktion</w:t>
      </w:r>
      <w:proofErr w:type="spellEnd"/>
      <w:r w:rsidRPr="00DD6FE7">
        <w:rPr>
          <w:rFonts w:ascii="Segoe UI" w:hAnsi="Segoe UI" w:cs="Segoe UI"/>
          <w:sz w:val="20"/>
          <w:szCs w:val="20"/>
          <w:lang w:val="en-US"/>
        </w:rPr>
        <w:t xml:space="preserve"> der </w:t>
      </w:r>
      <w:proofErr w:type="spellStart"/>
      <w:r w:rsidRPr="00DD6FE7">
        <w:rPr>
          <w:rFonts w:ascii="Segoe UI" w:hAnsi="Segoe UI" w:cs="Segoe UI"/>
          <w:sz w:val="20"/>
          <w:szCs w:val="20"/>
          <w:lang w:val="en-US"/>
        </w:rPr>
        <w:t>mitochondrialen</w:t>
      </w:r>
      <w:proofErr w:type="spellEnd"/>
      <w:r w:rsidRPr="00DD6FE7">
        <w:rPr>
          <w:rFonts w:ascii="Segoe UI" w:hAnsi="Segoe UI" w:cs="Segoe UI"/>
          <w:sz w:val="20"/>
          <w:szCs w:val="20"/>
          <w:lang w:val="en-US"/>
        </w:rPr>
        <w:t xml:space="preserve"> DNA von T-</w:t>
      </w:r>
      <w:proofErr w:type="spellStart"/>
      <w:r w:rsidRPr="00DD6FE7">
        <w:rPr>
          <w:rFonts w:ascii="Segoe UI" w:hAnsi="Segoe UI" w:cs="Segoe UI"/>
          <w:sz w:val="20"/>
          <w:szCs w:val="20"/>
          <w:lang w:val="en-US"/>
        </w:rPr>
        <w:t>Helferzellen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nach</w:t>
      </w:r>
      <w:proofErr w:type="spellEnd"/>
      <w:r w:rsidRPr="00DD6FE7">
        <w:rPr>
          <w:rFonts w:ascii="Segoe UI" w:hAnsi="Segoe UI" w:cs="Segoe UI"/>
          <w:sz w:val="20"/>
          <w:szCs w:val="20"/>
          <w:lang w:val="en-US"/>
        </w:rPr>
        <w:t xml:space="preserve"> 7-tägiger </w:t>
      </w:r>
      <w:proofErr w:type="spellStart"/>
      <w:r w:rsidRPr="00DD6FE7">
        <w:rPr>
          <w:rFonts w:ascii="Segoe UI" w:hAnsi="Segoe UI" w:cs="Segoe UI"/>
          <w:sz w:val="20"/>
          <w:szCs w:val="20"/>
          <w:lang w:val="en-US"/>
        </w:rPr>
        <w:t>Inkubation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mit</w:t>
      </w:r>
      <w:proofErr w:type="spellEnd"/>
      <w:r w:rsidRPr="00DD6FE7">
        <w:rPr>
          <w:rFonts w:ascii="Segoe UI" w:hAnsi="Segoe UI" w:cs="Segoe UI"/>
          <w:sz w:val="20"/>
          <w:szCs w:val="20"/>
          <w:lang w:val="en-US"/>
        </w:rPr>
        <w:t xml:space="preserve"> Ciprofloxacin („Supporting previously published data, we show that long-term ciprofloxacin treatment (7 d) of mitogen-activated proliferating peripheral human T lymphocytes led to a decreased </w:t>
      </w:r>
      <w:proofErr w:type="spellStart"/>
      <w:r w:rsidRPr="00DD6FE7">
        <w:rPr>
          <w:rFonts w:ascii="Segoe UI" w:hAnsi="Segoe UI" w:cs="Segoe UI"/>
          <w:sz w:val="20"/>
          <w:szCs w:val="20"/>
          <w:lang w:val="en-US"/>
        </w:rPr>
        <w:t>mtDNA</w:t>
      </w:r>
      <w:proofErr w:type="spellEnd"/>
      <w:r w:rsidRPr="00DD6FE7">
        <w:rPr>
          <w:rFonts w:ascii="Segoe UI" w:hAnsi="Segoe UI" w:cs="Segoe UI"/>
          <w:sz w:val="20"/>
          <w:szCs w:val="20"/>
          <w:lang w:val="en-US"/>
        </w:rPr>
        <w:t xml:space="preserve"> content.“ </w:t>
      </w:r>
      <w:hyperlink r:id="rId26" w:tgtFrame="_blank" w:history="1">
        <w:r>
          <w:rPr>
            <w:rStyle w:val="Hyperlink"/>
            <w:rFonts w:ascii="Segoe UI" w:hAnsi="Segoe UI" w:cs="Segoe UI"/>
            <w:sz w:val="20"/>
            <w:szCs w:val="20"/>
          </w:rPr>
          <w:t>http://www.jimmunol.org/content/184/9/4827.full.pdf</w:t>
        </w:r>
      </w:hyperlink>
      <w:r>
        <w:rPr>
          <w:rFonts w:ascii="Segoe UI" w:hAnsi="Segoe UI" w:cs="Segoe UI"/>
          <w:sz w:val="20"/>
          <w:szCs w:val="20"/>
        </w:rPr>
        <w:t>)</w:t>
      </w:r>
    </w:p>
    <w:p w:rsidR="0064547D" w:rsidRDefault="0064547D" w:rsidP="0064547D">
      <w:pPr>
        <w:pStyle w:val="StandardWeb"/>
        <w:spacing w:after="0" w:afterAutospacing="0"/>
        <w:rPr>
          <w:rFonts w:ascii="Segoe UI" w:hAnsi="Segoe UI" w:cs="Segoe UI"/>
          <w:sz w:val="20"/>
          <w:szCs w:val="20"/>
        </w:rPr>
      </w:pPr>
      <w:r>
        <w:rPr>
          <w:rFonts w:ascii="Segoe UI" w:hAnsi="Segoe UI" w:cs="Segoe UI"/>
          <w:sz w:val="20"/>
          <w:szCs w:val="20"/>
        </w:rPr>
        <w:lastRenderedPageBreak/>
        <w:t xml:space="preserve">Der </w:t>
      </w:r>
      <w:proofErr w:type="spellStart"/>
      <w:r>
        <w:rPr>
          <w:rFonts w:ascii="Segoe UI" w:hAnsi="Segoe UI" w:cs="Segoe UI"/>
          <w:sz w:val="20"/>
          <w:szCs w:val="20"/>
        </w:rPr>
        <w:t>pathobiochemische</w:t>
      </w:r>
      <w:proofErr w:type="spellEnd"/>
      <w:r>
        <w:rPr>
          <w:rFonts w:ascii="Segoe UI" w:hAnsi="Segoe UI" w:cs="Segoe UI"/>
          <w:sz w:val="20"/>
          <w:szCs w:val="20"/>
        </w:rPr>
        <w:t xml:space="preserve"> Prozess ließe sich auf eine Störung des </w:t>
      </w:r>
      <w:proofErr w:type="spellStart"/>
      <w:r>
        <w:rPr>
          <w:rFonts w:ascii="Segoe UI" w:hAnsi="Segoe UI" w:cs="Segoe UI"/>
          <w:sz w:val="20"/>
          <w:szCs w:val="20"/>
        </w:rPr>
        <w:t>Tryptophanstoffwechsels</w:t>
      </w:r>
      <w:proofErr w:type="spellEnd"/>
      <w:r>
        <w:rPr>
          <w:rFonts w:ascii="Segoe UI" w:hAnsi="Segoe UI" w:cs="Segoe UI"/>
          <w:sz w:val="20"/>
          <w:szCs w:val="20"/>
        </w:rPr>
        <w:t xml:space="preserve"> durch hochtoxische </w:t>
      </w:r>
      <w:proofErr w:type="spellStart"/>
      <w:r>
        <w:rPr>
          <w:rFonts w:ascii="Segoe UI" w:hAnsi="Segoe UI" w:cs="Segoe UI"/>
          <w:sz w:val="20"/>
          <w:szCs w:val="20"/>
        </w:rPr>
        <w:t>Fluorchinolonmetaboliten</w:t>
      </w:r>
      <w:proofErr w:type="spellEnd"/>
      <w:r>
        <w:rPr>
          <w:rFonts w:ascii="Segoe UI" w:hAnsi="Segoe UI" w:cs="Segoe UI"/>
          <w:sz w:val="20"/>
          <w:szCs w:val="20"/>
        </w:rPr>
        <w:t xml:space="preserve"> wie z. B. 5-Fluortryptophan zurückführen: die Differenzierung von T-Helferzellen hängt maßgeblich vom Zusammenspiel zwischen Tryptophan-</w:t>
      </w:r>
      <w:proofErr w:type="spellStart"/>
      <w:r>
        <w:rPr>
          <w:rFonts w:ascii="Segoe UI" w:hAnsi="Segoe UI" w:cs="Segoe UI"/>
          <w:sz w:val="20"/>
          <w:szCs w:val="20"/>
        </w:rPr>
        <w:t>Hydroxylase</w:t>
      </w:r>
      <w:proofErr w:type="spellEnd"/>
      <w:r>
        <w:rPr>
          <w:rFonts w:ascii="Segoe UI" w:hAnsi="Segoe UI" w:cs="Segoe UI"/>
          <w:sz w:val="20"/>
          <w:szCs w:val="20"/>
        </w:rPr>
        <w:t xml:space="preserve"> und dem </w:t>
      </w:r>
      <w:proofErr w:type="spellStart"/>
      <w:r>
        <w:rPr>
          <w:rFonts w:ascii="Segoe UI" w:hAnsi="Segoe UI" w:cs="Segoe UI"/>
          <w:sz w:val="20"/>
          <w:szCs w:val="20"/>
        </w:rPr>
        <w:t>Tryptophanprodukt</w:t>
      </w:r>
      <w:proofErr w:type="spellEnd"/>
      <w:r>
        <w:rPr>
          <w:rFonts w:ascii="Segoe UI" w:hAnsi="Segoe UI" w:cs="Segoe UI"/>
          <w:sz w:val="20"/>
          <w:szCs w:val="20"/>
        </w:rPr>
        <w:t xml:space="preserve"> NAD⁺ ab (</w:t>
      </w:r>
      <w:hyperlink r:id="rId27" w:tgtFrame="_blank" w:history="1">
        <w:r>
          <w:rPr>
            <w:rStyle w:val="Hyperlink"/>
            <w:rFonts w:ascii="Segoe UI" w:hAnsi="Segoe UI" w:cs="Segoe UI"/>
            <w:sz w:val="20"/>
            <w:szCs w:val="20"/>
          </w:rPr>
          <w:t>https://www.ncbi.nlm.nih.gov/pmc/articles/PMC4205890/</w:t>
        </w:r>
      </w:hyperlink>
      <w:r>
        <w:rPr>
          <w:rFonts w:ascii="Segoe UI" w:hAnsi="Segoe UI" w:cs="Segoe UI"/>
          <w:sz w:val="20"/>
          <w:szCs w:val="20"/>
        </w:rPr>
        <w:t>). Auch die Proliferation von T-Helferzellen ist eindeutig Tryptophan-abhängig (</w:t>
      </w:r>
      <w:hyperlink r:id="rId28" w:tgtFrame="_blank" w:history="1">
        <w:r>
          <w:rPr>
            <w:rStyle w:val="Hyperlink"/>
            <w:rFonts w:ascii="Segoe UI" w:hAnsi="Segoe UI" w:cs="Segoe UI"/>
            <w:color w:val="0066CC"/>
            <w:sz w:val="20"/>
            <w:szCs w:val="20"/>
          </w:rPr>
          <w:t>http://jem.rupress.org/content/189/9/1363</w:t>
        </w:r>
      </w:hyperlink>
      <w:r>
        <w:rPr>
          <w:rFonts w:ascii="Segoe UI" w:hAnsi="Segoe UI" w:cs="Segoe UI"/>
          <w:sz w:val="20"/>
          <w:szCs w:val="20"/>
        </w:rPr>
        <w:t xml:space="preserve">); Polymorphismen CD4⁺-spezifischer 5-HT-Rezeptoren, ein hiermit verbundener Aktivitätsverlust durch Serotoninmangel und Anstieg pathogener TH17-Zellen als Untergruppe der T-Helferzellen gelten als wesentliche entzündungsfördernde Faktoren bei der Entstehung </w:t>
      </w:r>
      <w:proofErr w:type="spellStart"/>
      <w:r>
        <w:rPr>
          <w:rFonts w:ascii="Segoe UI" w:hAnsi="Segoe UI" w:cs="Segoe UI"/>
          <w:sz w:val="20"/>
          <w:szCs w:val="20"/>
        </w:rPr>
        <w:t>muskuloskelettaler</w:t>
      </w:r>
      <w:proofErr w:type="spellEnd"/>
      <w:r>
        <w:rPr>
          <w:rFonts w:ascii="Segoe UI" w:hAnsi="Segoe UI" w:cs="Segoe UI"/>
          <w:sz w:val="20"/>
          <w:szCs w:val="20"/>
        </w:rPr>
        <w:t xml:space="preserve"> Erkrankungen (</w:t>
      </w:r>
      <w:hyperlink r:id="rId29" w:tgtFrame="_blank" w:history="1">
        <w:r>
          <w:rPr>
            <w:rStyle w:val="Hyperlink"/>
            <w:rFonts w:ascii="Segoe UI" w:hAnsi="Segoe UI" w:cs="Segoe UI"/>
            <w:sz w:val="20"/>
            <w:szCs w:val="20"/>
          </w:rPr>
          <w:t>https://www.researchgate.net/publication/297683120_Serotonin_Is_Involved_in_Autoimmune_Arthritis_through_Th17_Immunity_and_Bone_Resorption</w:t>
        </w:r>
      </w:hyperlink>
      <w:r>
        <w:rPr>
          <w:rFonts w:ascii="Segoe UI" w:hAnsi="Segoe UI" w:cs="Segoe UI"/>
          <w:sz w:val="20"/>
          <w:szCs w:val="20"/>
        </w:rPr>
        <w:t xml:space="preserve">). </w:t>
      </w:r>
    </w:p>
    <w:p w:rsidR="0064547D" w:rsidRDefault="0064547D" w:rsidP="0064547D">
      <w:pPr>
        <w:pStyle w:val="StandardWeb"/>
        <w:spacing w:after="0" w:afterAutospacing="0"/>
        <w:rPr>
          <w:rFonts w:ascii="Segoe UI" w:hAnsi="Segoe UI" w:cs="Segoe UI"/>
          <w:sz w:val="20"/>
          <w:szCs w:val="20"/>
        </w:rPr>
      </w:pPr>
      <w:r>
        <w:rPr>
          <w:rFonts w:ascii="Segoe UI" w:hAnsi="Segoe UI" w:cs="Segoe UI"/>
          <w:sz w:val="20"/>
          <w:szCs w:val="20"/>
        </w:rPr>
        <w:t xml:space="preserve">Interessanterweise wurde im Tierversuch sowohl mit </w:t>
      </w:r>
      <w:proofErr w:type="spellStart"/>
      <w:r>
        <w:rPr>
          <w:rFonts w:ascii="Segoe UI" w:hAnsi="Segoe UI" w:cs="Segoe UI"/>
          <w:sz w:val="20"/>
          <w:szCs w:val="20"/>
        </w:rPr>
        <w:t>Ciprofloxacin</w:t>
      </w:r>
      <w:proofErr w:type="spellEnd"/>
      <w:r>
        <w:rPr>
          <w:rFonts w:ascii="Segoe UI" w:hAnsi="Segoe UI" w:cs="Segoe UI"/>
          <w:sz w:val="20"/>
          <w:szCs w:val="20"/>
        </w:rPr>
        <w:t>...</w:t>
      </w:r>
    </w:p>
    <w:p w:rsidR="0064547D" w:rsidRDefault="0064547D" w:rsidP="0064547D">
      <w:pPr>
        <w:pStyle w:val="StandardWeb"/>
        <w:spacing w:after="0" w:afterAutospacing="0"/>
        <w:rPr>
          <w:rFonts w:ascii="Segoe UI" w:hAnsi="Segoe UI" w:cs="Segoe UI"/>
          <w:sz w:val="20"/>
          <w:szCs w:val="20"/>
        </w:rPr>
      </w:pPr>
      <w:r>
        <w:rPr>
          <w:rFonts w:ascii="Segoe UI" w:hAnsi="Segoe UI" w:cs="Segoe UI"/>
          <w:noProof/>
          <w:sz w:val="20"/>
          <w:szCs w:val="20"/>
        </w:rPr>
        <w:drawing>
          <wp:inline distT="0" distB="0" distL="0" distR="0" wp14:anchorId="4EA9E385" wp14:editId="668A5555">
            <wp:extent cx="5036185" cy="4019550"/>
            <wp:effectExtent l="0" t="0" r="0" b="0"/>
            <wp:docPr id="2" name="Grafik 2" descr="Inlin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Bild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6185" cy="4019550"/>
                    </a:xfrm>
                    <a:prstGeom prst="rect">
                      <a:avLst/>
                    </a:prstGeom>
                    <a:noFill/>
                    <a:ln>
                      <a:noFill/>
                    </a:ln>
                  </pic:spPr>
                </pic:pic>
              </a:graphicData>
            </a:graphic>
          </wp:inline>
        </w:drawing>
      </w:r>
    </w:p>
    <w:p w:rsidR="0064547D" w:rsidRDefault="0064547D" w:rsidP="0064547D">
      <w:pPr>
        <w:pStyle w:val="StandardWeb"/>
        <w:spacing w:after="0" w:afterAutospacing="0"/>
        <w:rPr>
          <w:rFonts w:ascii="Segoe UI" w:hAnsi="Segoe UI" w:cs="Segoe UI"/>
          <w:sz w:val="20"/>
          <w:szCs w:val="20"/>
        </w:rPr>
      </w:pPr>
      <w:r>
        <w:rPr>
          <w:rFonts w:ascii="Segoe UI" w:hAnsi="Segoe UI" w:cs="Segoe UI"/>
          <w:sz w:val="20"/>
          <w:szCs w:val="20"/>
        </w:rPr>
        <w:t xml:space="preserve">(DOI: 10.2217/nnm.14.209) </w:t>
      </w:r>
    </w:p>
    <w:p w:rsidR="0064547D" w:rsidRDefault="0064547D" w:rsidP="0064547D">
      <w:pPr>
        <w:pStyle w:val="StandardWeb"/>
        <w:spacing w:after="0" w:afterAutospacing="0"/>
        <w:rPr>
          <w:rFonts w:ascii="Segoe UI" w:hAnsi="Segoe UI" w:cs="Segoe UI"/>
          <w:sz w:val="20"/>
          <w:szCs w:val="20"/>
        </w:rPr>
      </w:pPr>
      <w:r>
        <w:rPr>
          <w:rFonts w:ascii="Segoe UI" w:hAnsi="Segoe UI" w:cs="Segoe UI"/>
          <w:sz w:val="20"/>
          <w:szCs w:val="20"/>
        </w:rPr>
        <w:t xml:space="preserve">...als auch mit erhöhten Fluordosierungen... </w:t>
      </w:r>
    </w:p>
    <w:p w:rsidR="0064547D" w:rsidRDefault="0064547D" w:rsidP="0064547D">
      <w:pPr>
        <w:pStyle w:val="StandardWeb"/>
        <w:spacing w:after="0" w:afterAutospacing="0"/>
        <w:rPr>
          <w:rFonts w:ascii="Segoe UI" w:hAnsi="Segoe UI" w:cs="Segoe UI"/>
          <w:sz w:val="20"/>
          <w:szCs w:val="20"/>
        </w:rPr>
      </w:pPr>
      <w:r>
        <w:rPr>
          <w:rFonts w:ascii="Segoe UI" w:hAnsi="Segoe UI" w:cs="Segoe UI"/>
          <w:noProof/>
          <w:sz w:val="20"/>
          <w:szCs w:val="20"/>
        </w:rPr>
        <w:lastRenderedPageBreak/>
        <w:drawing>
          <wp:inline distT="0" distB="0" distL="0" distR="0" wp14:anchorId="63F88CEC" wp14:editId="51431AEA">
            <wp:extent cx="4612640" cy="5391150"/>
            <wp:effectExtent l="0" t="0" r="0" b="0"/>
            <wp:docPr id="7" name="Grafik 7" descr="Inlin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Bild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2640" cy="5391150"/>
                    </a:xfrm>
                    <a:prstGeom prst="rect">
                      <a:avLst/>
                    </a:prstGeom>
                    <a:noFill/>
                    <a:ln>
                      <a:noFill/>
                    </a:ln>
                  </pic:spPr>
                </pic:pic>
              </a:graphicData>
            </a:graphic>
          </wp:inline>
        </w:drawing>
      </w:r>
    </w:p>
    <w:p w:rsidR="0064547D" w:rsidRDefault="0064547D" w:rsidP="0064547D">
      <w:pPr>
        <w:pStyle w:val="StandardWeb"/>
        <w:spacing w:after="0" w:afterAutospacing="0"/>
        <w:rPr>
          <w:rFonts w:ascii="Segoe UI" w:hAnsi="Segoe UI" w:cs="Segoe UI"/>
          <w:sz w:val="20"/>
          <w:szCs w:val="20"/>
        </w:rPr>
      </w:pPr>
      <w:r>
        <w:rPr>
          <w:rFonts w:ascii="Segoe UI" w:hAnsi="Segoe UI" w:cs="Segoe UI"/>
          <w:sz w:val="20"/>
          <w:szCs w:val="20"/>
        </w:rPr>
        <w:t xml:space="preserve">(DOI: 10.1007/s12011-009-8373-2) </w:t>
      </w:r>
    </w:p>
    <w:p w:rsidR="0064547D" w:rsidRDefault="0064547D" w:rsidP="0064547D">
      <w:pPr>
        <w:pStyle w:val="StandardWeb"/>
        <w:spacing w:after="0" w:afterAutospacing="0"/>
        <w:rPr>
          <w:rFonts w:ascii="Segoe UI" w:hAnsi="Segoe UI" w:cs="Segoe UI"/>
          <w:sz w:val="20"/>
          <w:szCs w:val="20"/>
        </w:rPr>
      </w:pPr>
      <w:r>
        <w:rPr>
          <w:rFonts w:ascii="Segoe UI" w:hAnsi="Segoe UI" w:cs="Segoe UI"/>
          <w:sz w:val="20"/>
          <w:szCs w:val="20"/>
        </w:rPr>
        <w:t>...eine Erniedrigung der CD4/CD8-Ratio beobachtet.</w:t>
      </w:r>
    </w:p>
    <w:p w:rsidR="0064547D" w:rsidRDefault="0064547D" w:rsidP="0064547D">
      <w:pPr>
        <w:pStyle w:val="StandardWeb"/>
        <w:spacing w:after="0" w:afterAutospacing="0"/>
        <w:rPr>
          <w:rFonts w:ascii="Segoe UI" w:hAnsi="Segoe UI" w:cs="Segoe UI"/>
          <w:sz w:val="20"/>
          <w:szCs w:val="20"/>
        </w:rPr>
      </w:pPr>
      <w:r>
        <w:rPr>
          <w:rFonts w:ascii="Segoe UI" w:hAnsi="Segoe UI" w:cs="Segoe UI"/>
          <w:sz w:val="20"/>
          <w:szCs w:val="20"/>
        </w:rPr>
        <w:t xml:space="preserve">Ein weiterer, mit obigem Parameter assoziierter Marker ist das </w:t>
      </w:r>
      <w:proofErr w:type="spellStart"/>
      <w:r>
        <w:rPr>
          <w:rFonts w:ascii="Segoe UI" w:hAnsi="Segoe UI" w:cs="Segoe UI"/>
          <w:sz w:val="20"/>
          <w:szCs w:val="20"/>
        </w:rPr>
        <w:t>Tryptophanabbauprodukt</w:t>
      </w:r>
      <w:proofErr w:type="spellEnd"/>
      <w:r>
        <w:rPr>
          <w:rFonts w:ascii="Segoe UI" w:hAnsi="Segoe UI" w:cs="Segoe UI"/>
          <w:sz w:val="20"/>
          <w:szCs w:val="20"/>
        </w:rPr>
        <w:t xml:space="preserve"> 3-Indoxylsulfat (3-IS, </w:t>
      </w:r>
      <w:proofErr w:type="spellStart"/>
      <w:r>
        <w:rPr>
          <w:rFonts w:ascii="Segoe UI" w:hAnsi="Segoe UI" w:cs="Segoe UI"/>
          <w:sz w:val="20"/>
          <w:szCs w:val="20"/>
        </w:rPr>
        <w:t>Harnindikan</w:t>
      </w:r>
      <w:proofErr w:type="spellEnd"/>
      <w:r>
        <w:rPr>
          <w:rFonts w:ascii="Segoe UI" w:hAnsi="Segoe UI" w:cs="Segoe UI"/>
          <w:sz w:val="20"/>
          <w:szCs w:val="20"/>
        </w:rPr>
        <w:t xml:space="preserve">), welches bei erniedrigten Harnspiegeln mit Störungen des Mikrobioms, entzündlichen Veränderungen des Endothels und einer Fehlregulation von T-Helferzellen korreliert. In einer sequentiellen </w:t>
      </w:r>
      <w:proofErr w:type="spellStart"/>
      <w:r>
        <w:rPr>
          <w:rFonts w:ascii="Segoe UI" w:hAnsi="Segoe UI" w:cs="Segoe UI"/>
          <w:sz w:val="20"/>
          <w:szCs w:val="20"/>
        </w:rPr>
        <w:t>Kohortenstudie</w:t>
      </w:r>
      <w:proofErr w:type="spellEnd"/>
      <w:r>
        <w:rPr>
          <w:rFonts w:ascii="Segoe UI" w:hAnsi="Segoe UI" w:cs="Segoe UI"/>
          <w:sz w:val="20"/>
          <w:szCs w:val="20"/>
        </w:rPr>
        <w:t xml:space="preserve"> zeigten sich bei transplantierten Patienten, die mit der Wirkstoffkombination </w:t>
      </w:r>
      <w:proofErr w:type="spellStart"/>
      <w:r>
        <w:rPr>
          <w:rFonts w:ascii="Segoe UI" w:hAnsi="Segoe UI" w:cs="Segoe UI"/>
          <w:sz w:val="20"/>
          <w:szCs w:val="20"/>
        </w:rPr>
        <w:t>Ciprofloxacin</w:t>
      </w:r>
      <w:proofErr w:type="spellEnd"/>
      <w:r>
        <w:rPr>
          <w:rFonts w:ascii="Segoe UI" w:hAnsi="Segoe UI" w:cs="Segoe UI"/>
          <w:sz w:val="20"/>
          <w:szCs w:val="20"/>
        </w:rPr>
        <w:t>/</w:t>
      </w:r>
      <w:proofErr w:type="spellStart"/>
      <w:r>
        <w:rPr>
          <w:rFonts w:ascii="Segoe UI" w:hAnsi="Segoe UI" w:cs="Segoe UI"/>
          <w:sz w:val="20"/>
          <w:szCs w:val="20"/>
        </w:rPr>
        <w:t>Metronidazol</w:t>
      </w:r>
      <w:proofErr w:type="spellEnd"/>
      <w:r>
        <w:rPr>
          <w:rFonts w:ascii="Segoe UI" w:hAnsi="Segoe UI" w:cs="Segoe UI"/>
          <w:sz w:val="20"/>
          <w:szCs w:val="20"/>
        </w:rPr>
        <w:t xml:space="preserve"> behandelt wurden, signifikant erniedrigte 3-IS-Werte und eine erhöhtes Mortalitätsrisiko. Patienten, die stattdessen mit dem nebenwirkungsarmen Breitbandantibiotikum </w:t>
      </w:r>
      <w:proofErr w:type="spellStart"/>
      <w:r>
        <w:rPr>
          <w:rFonts w:ascii="Segoe UI" w:hAnsi="Segoe UI" w:cs="Segoe UI"/>
          <w:sz w:val="20"/>
          <w:szCs w:val="20"/>
        </w:rPr>
        <w:t>Rifaximin</w:t>
      </w:r>
      <w:proofErr w:type="spellEnd"/>
      <w:r>
        <w:rPr>
          <w:rFonts w:ascii="Segoe UI" w:hAnsi="Segoe UI" w:cs="Segoe UI"/>
          <w:sz w:val="20"/>
          <w:szCs w:val="20"/>
        </w:rPr>
        <w:t xml:space="preserve"> behandelt wurden, wiesen weder signifikant erniedrigte 3-IS-Werte noch ein erhöhtes Mortalitätsrisiko auf (</w:t>
      </w:r>
      <w:hyperlink r:id="rId32" w:tgtFrame="_blank" w:history="1">
        <w:r>
          <w:rPr>
            <w:rStyle w:val="Hyperlink"/>
            <w:rFonts w:ascii="Segoe UI" w:hAnsi="Segoe UI" w:cs="Segoe UI"/>
            <w:color w:val="0066CC"/>
            <w:sz w:val="20"/>
            <w:szCs w:val="20"/>
          </w:rPr>
          <w:t>http://www.bloodjournal.org/content/126/14/1723?sso-checked=true</w:t>
        </w:r>
      </w:hyperlink>
      <w:r>
        <w:rPr>
          <w:rFonts w:ascii="Segoe UI" w:hAnsi="Segoe UI" w:cs="Segoe UI"/>
          <w:sz w:val="20"/>
          <w:szCs w:val="20"/>
        </w:rPr>
        <w:t xml:space="preserve">; </w:t>
      </w:r>
      <w:hyperlink r:id="rId33" w:tgtFrame="_blank" w:history="1">
        <w:r>
          <w:rPr>
            <w:rStyle w:val="Hyperlink"/>
            <w:rFonts w:ascii="Segoe UI" w:hAnsi="Segoe UI" w:cs="Segoe UI"/>
            <w:sz w:val="20"/>
            <w:szCs w:val="20"/>
          </w:rPr>
          <w:t>https://www.ncbi.nlm.nih.gov/pubmed/26999466</w:t>
        </w:r>
      </w:hyperlink>
      <w:r>
        <w:rPr>
          <w:rFonts w:ascii="Segoe UI" w:hAnsi="Segoe UI" w:cs="Segoe UI"/>
          <w:sz w:val="20"/>
          <w:szCs w:val="20"/>
        </w:rPr>
        <w:t>).</w:t>
      </w:r>
    </w:p>
    <w:p w:rsidR="0064547D" w:rsidRDefault="0064547D" w:rsidP="0064547D">
      <w:pPr>
        <w:pStyle w:val="StandardWeb"/>
        <w:spacing w:after="0" w:afterAutospacing="0"/>
        <w:rPr>
          <w:rFonts w:ascii="Segoe UI" w:hAnsi="Segoe UI" w:cs="Segoe UI"/>
          <w:sz w:val="20"/>
          <w:szCs w:val="20"/>
        </w:rPr>
      </w:pPr>
      <w:r>
        <w:rPr>
          <w:rFonts w:ascii="Segoe UI" w:hAnsi="Segoe UI" w:cs="Segoe UI"/>
          <w:sz w:val="20"/>
          <w:szCs w:val="20"/>
        </w:rPr>
        <w:t>MfG</w:t>
      </w:r>
    </w:p>
    <w:p w:rsidR="0064547D" w:rsidRDefault="0064547D" w:rsidP="0064547D">
      <w:pPr>
        <w:pStyle w:val="StandardWeb"/>
        <w:spacing w:after="0" w:afterAutospacing="0"/>
        <w:rPr>
          <w:rFonts w:ascii="Segoe UI" w:hAnsi="Segoe UI" w:cs="Segoe UI"/>
          <w:color w:val="888888"/>
          <w:sz w:val="20"/>
          <w:szCs w:val="20"/>
        </w:rPr>
      </w:pPr>
    </w:p>
    <w:p w:rsidR="00DB68A3" w:rsidRDefault="00DB68A3" w:rsidP="0064547D">
      <w:pPr>
        <w:pStyle w:val="StandardWeb"/>
        <w:spacing w:after="0" w:afterAutospacing="0"/>
        <w:rPr>
          <w:rFonts w:ascii="Segoe UI" w:hAnsi="Segoe UI" w:cs="Segoe UI"/>
          <w:color w:val="888888"/>
          <w:sz w:val="20"/>
          <w:szCs w:val="20"/>
        </w:rPr>
      </w:pPr>
    </w:p>
    <w:p w:rsidR="00DB68A3" w:rsidRDefault="00DB68A3" w:rsidP="0064547D">
      <w:pPr>
        <w:pStyle w:val="StandardWeb"/>
        <w:spacing w:after="0" w:afterAutospacing="0"/>
        <w:rPr>
          <w:rFonts w:ascii="Segoe UI" w:hAnsi="Segoe UI" w:cs="Segoe UI"/>
          <w:color w:val="888888"/>
          <w:sz w:val="20"/>
          <w:szCs w:val="20"/>
        </w:rPr>
      </w:pPr>
    </w:p>
    <w:p w:rsidR="00DB68A3" w:rsidRDefault="00EB395C" w:rsidP="00DB68A3">
      <w:pPr>
        <w:pStyle w:val="StandardWeb"/>
        <w:rPr>
          <w:rFonts w:ascii="Verdana" w:hAnsi="Verdana"/>
          <w:sz w:val="18"/>
          <w:szCs w:val="18"/>
        </w:rPr>
      </w:pPr>
      <w:r>
        <w:rPr>
          <w:rFonts w:ascii="Segoe UI" w:hAnsi="Segoe UI" w:cs="Segoe UI"/>
          <w:sz w:val="20"/>
          <w:szCs w:val="20"/>
        </w:rPr>
        <w:t>Hallo Herr</w:t>
      </w:r>
      <w:r w:rsidR="00DB68A3">
        <w:rPr>
          <w:rFonts w:ascii="Segoe UI" w:hAnsi="Segoe UI" w:cs="Segoe UI"/>
          <w:sz w:val="20"/>
          <w:szCs w:val="20"/>
        </w:rPr>
        <w:t>,</w:t>
      </w:r>
    </w:p>
    <w:p w:rsidR="00DB68A3" w:rsidRDefault="00DB68A3" w:rsidP="00DB68A3">
      <w:pPr>
        <w:pStyle w:val="StandardWeb"/>
        <w:spacing w:after="0" w:afterAutospacing="0"/>
        <w:rPr>
          <w:rFonts w:ascii="Verdana" w:hAnsi="Verdana"/>
          <w:sz w:val="18"/>
          <w:szCs w:val="18"/>
        </w:rPr>
      </w:pPr>
      <w:r>
        <w:rPr>
          <w:rFonts w:ascii="Segoe UI" w:hAnsi="Segoe UI" w:cs="Segoe UI"/>
          <w:sz w:val="20"/>
          <w:szCs w:val="20"/>
        </w:rPr>
        <w:t>anbei der gestern angekündigte Beitrag zu FQ-spezifischen Biomarkern.</w:t>
      </w:r>
    </w:p>
    <w:p w:rsidR="00DB68A3" w:rsidRDefault="00DB68A3" w:rsidP="00DB68A3">
      <w:pPr>
        <w:pStyle w:val="StandardWeb"/>
        <w:spacing w:after="0" w:afterAutospacing="0"/>
        <w:rPr>
          <w:rFonts w:ascii="Verdana" w:hAnsi="Verdana"/>
          <w:sz w:val="18"/>
          <w:szCs w:val="18"/>
        </w:rPr>
      </w:pPr>
      <w:r>
        <w:rPr>
          <w:rFonts w:ascii="Segoe UI" w:hAnsi="Segoe UI" w:cs="Segoe UI"/>
          <w:sz w:val="20"/>
          <w:szCs w:val="20"/>
        </w:rPr>
        <w:t xml:space="preserve">Ich habe mich gefragt, inwiefern es einen Zusammenhang zwischen </w:t>
      </w:r>
      <w:proofErr w:type="spellStart"/>
      <w:r>
        <w:rPr>
          <w:rFonts w:ascii="Segoe UI" w:hAnsi="Segoe UI" w:cs="Segoe UI"/>
          <w:sz w:val="20"/>
          <w:szCs w:val="20"/>
        </w:rPr>
        <w:t>Fluorchinolonanwendung</w:t>
      </w:r>
      <w:proofErr w:type="spellEnd"/>
      <w:r>
        <w:rPr>
          <w:rFonts w:ascii="Segoe UI" w:hAnsi="Segoe UI" w:cs="Segoe UI"/>
          <w:sz w:val="20"/>
          <w:szCs w:val="20"/>
        </w:rPr>
        <w:t xml:space="preserve"> und längerfristig verminderten T-Helferzellen bzw. CD4-Lymphozyten (im </w:t>
      </w:r>
      <w:proofErr w:type="spellStart"/>
      <w:proofErr w:type="gramStart"/>
      <w:r>
        <w:rPr>
          <w:rFonts w:ascii="Segoe UI" w:hAnsi="Segoe UI" w:cs="Segoe UI"/>
          <w:sz w:val="20"/>
          <w:szCs w:val="20"/>
        </w:rPr>
        <w:t>folgenden</w:t>
      </w:r>
      <w:proofErr w:type="spellEnd"/>
      <w:proofErr w:type="gramEnd"/>
      <w:r>
        <w:rPr>
          <w:rFonts w:ascii="Segoe UI" w:hAnsi="Segoe UI" w:cs="Segoe UI"/>
          <w:sz w:val="20"/>
          <w:szCs w:val="20"/>
        </w:rPr>
        <w:t>: THZ) einschließlich erniedrigter CD4/CD8-Ratio geben könnte.</w:t>
      </w:r>
    </w:p>
    <w:p w:rsidR="00DB68A3" w:rsidRDefault="00DB68A3" w:rsidP="00DB68A3">
      <w:pPr>
        <w:pStyle w:val="StandardWeb"/>
        <w:spacing w:after="0" w:afterAutospacing="0"/>
        <w:rPr>
          <w:rFonts w:ascii="Verdana" w:hAnsi="Verdana"/>
          <w:sz w:val="18"/>
          <w:szCs w:val="18"/>
        </w:rPr>
      </w:pPr>
      <w:r>
        <w:rPr>
          <w:rFonts w:ascii="Segoe UI" w:hAnsi="Segoe UI" w:cs="Segoe UI"/>
          <w:sz w:val="20"/>
          <w:szCs w:val="20"/>
        </w:rPr>
        <w:t xml:space="preserve">Zur diagnostischen Signifikanz dieser Parameter verweise ich auf eine </w:t>
      </w:r>
      <w:proofErr w:type="spellStart"/>
      <w:r>
        <w:rPr>
          <w:rFonts w:ascii="Segoe UI" w:hAnsi="Segoe UI" w:cs="Segoe UI"/>
          <w:sz w:val="20"/>
          <w:szCs w:val="20"/>
        </w:rPr>
        <w:t>Kohortenstudie</w:t>
      </w:r>
      <w:proofErr w:type="spellEnd"/>
      <w:r>
        <w:rPr>
          <w:rFonts w:ascii="Segoe UI" w:hAnsi="Segoe UI" w:cs="Segoe UI"/>
          <w:sz w:val="20"/>
          <w:szCs w:val="20"/>
        </w:rPr>
        <w:t xml:space="preserve">, in welcher die untersuchten </w:t>
      </w:r>
      <w:proofErr w:type="spellStart"/>
      <w:r>
        <w:rPr>
          <w:rFonts w:ascii="Segoe UI" w:hAnsi="Segoe UI" w:cs="Segoe UI"/>
          <w:sz w:val="20"/>
          <w:szCs w:val="20"/>
        </w:rPr>
        <w:t>Fluorchinolone</w:t>
      </w:r>
      <w:proofErr w:type="spellEnd"/>
      <w:r>
        <w:rPr>
          <w:rFonts w:ascii="Segoe UI" w:hAnsi="Segoe UI" w:cs="Segoe UI"/>
          <w:sz w:val="20"/>
          <w:szCs w:val="20"/>
        </w:rPr>
        <w:t xml:space="preserve"> </w:t>
      </w:r>
      <w:proofErr w:type="spellStart"/>
      <w:r>
        <w:rPr>
          <w:rFonts w:ascii="Segoe UI" w:hAnsi="Segoe UI" w:cs="Segoe UI"/>
          <w:sz w:val="20"/>
          <w:szCs w:val="20"/>
        </w:rPr>
        <w:t>Cipro</w:t>
      </w:r>
      <w:proofErr w:type="spellEnd"/>
      <w:r>
        <w:rPr>
          <w:rFonts w:ascii="Segoe UI" w:hAnsi="Segoe UI" w:cs="Segoe UI"/>
          <w:sz w:val="20"/>
          <w:szCs w:val="20"/>
        </w:rPr>
        <w:t xml:space="preserve">-, Nor- und </w:t>
      </w:r>
      <w:proofErr w:type="spellStart"/>
      <w:r>
        <w:rPr>
          <w:rFonts w:ascii="Segoe UI" w:hAnsi="Segoe UI" w:cs="Segoe UI"/>
          <w:sz w:val="20"/>
          <w:szCs w:val="20"/>
        </w:rPr>
        <w:t>Moxifloxacin</w:t>
      </w:r>
      <w:proofErr w:type="spellEnd"/>
      <w:r>
        <w:rPr>
          <w:rFonts w:ascii="Segoe UI" w:hAnsi="Segoe UI" w:cs="Segoe UI"/>
          <w:sz w:val="20"/>
          <w:szCs w:val="20"/>
        </w:rPr>
        <w:t xml:space="preserve"> bei exponierten Patienten eindeutig THZ-vermittelte Immunstörungen provozierten (</w:t>
      </w:r>
      <w:hyperlink r:id="rId34" w:tgtFrame="_blank" w:history="1">
        <w:r>
          <w:rPr>
            <w:rStyle w:val="Hyperlink"/>
            <w:rFonts w:ascii="Segoe UI" w:hAnsi="Segoe UI" w:cs="Segoe UI"/>
            <w:color w:val="0066CC"/>
            <w:sz w:val="20"/>
            <w:szCs w:val="20"/>
          </w:rPr>
          <w:t>https://www.ncbi.nlm.nih.gov/pubmed/16393267</w:t>
        </w:r>
      </w:hyperlink>
      <w:r>
        <w:rPr>
          <w:rFonts w:ascii="Segoe UI" w:hAnsi="Segoe UI" w:cs="Segoe UI"/>
          <w:sz w:val="20"/>
          <w:szCs w:val="20"/>
        </w:rPr>
        <w:t>).</w:t>
      </w:r>
    </w:p>
    <w:p w:rsidR="00DB68A3" w:rsidRDefault="00DB68A3" w:rsidP="00DB68A3">
      <w:pPr>
        <w:pStyle w:val="StandardWeb"/>
        <w:spacing w:after="0" w:afterAutospacing="0"/>
        <w:rPr>
          <w:rFonts w:ascii="Verdana" w:hAnsi="Verdana"/>
          <w:sz w:val="18"/>
          <w:szCs w:val="18"/>
        </w:rPr>
      </w:pPr>
      <w:r w:rsidRPr="00DD6FE7">
        <w:rPr>
          <w:rFonts w:ascii="Segoe UI" w:hAnsi="Segoe UI" w:cs="Segoe UI"/>
          <w:sz w:val="20"/>
          <w:szCs w:val="20"/>
          <w:lang w:val="en-US"/>
        </w:rPr>
        <w:t>In vitro-</w:t>
      </w:r>
      <w:proofErr w:type="spellStart"/>
      <w:r w:rsidRPr="00DD6FE7">
        <w:rPr>
          <w:rFonts w:ascii="Segoe UI" w:hAnsi="Segoe UI" w:cs="Segoe UI"/>
          <w:sz w:val="20"/>
          <w:szCs w:val="20"/>
          <w:lang w:val="en-US"/>
        </w:rPr>
        <w:t>Studien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legen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eine</w:t>
      </w:r>
      <w:proofErr w:type="spellEnd"/>
      <w:r w:rsidRPr="00DD6FE7">
        <w:rPr>
          <w:rFonts w:ascii="Segoe UI" w:hAnsi="Segoe UI" w:cs="Segoe UI"/>
          <w:sz w:val="20"/>
          <w:szCs w:val="20"/>
          <w:lang w:val="en-US"/>
        </w:rPr>
        <w:t xml:space="preserve"> FQ-</w:t>
      </w:r>
      <w:proofErr w:type="spellStart"/>
      <w:r w:rsidRPr="00DD6FE7">
        <w:rPr>
          <w:rFonts w:ascii="Segoe UI" w:hAnsi="Segoe UI" w:cs="Segoe UI"/>
          <w:sz w:val="20"/>
          <w:szCs w:val="20"/>
          <w:lang w:val="en-US"/>
        </w:rPr>
        <w:t>induzierte</w:t>
      </w:r>
      <w:proofErr w:type="spellEnd"/>
      <w:r w:rsidRPr="00DD6FE7">
        <w:rPr>
          <w:rFonts w:ascii="Segoe UI" w:hAnsi="Segoe UI" w:cs="Segoe UI"/>
          <w:sz w:val="20"/>
          <w:szCs w:val="20"/>
          <w:lang w:val="en-US"/>
        </w:rPr>
        <w:t xml:space="preserve"> Inhibition und </w:t>
      </w:r>
      <w:proofErr w:type="spellStart"/>
      <w:r w:rsidRPr="00DD6FE7">
        <w:rPr>
          <w:rFonts w:ascii="Segoe UI" w:hAnsi="Segoe UI" w:cs="Segoe UI"/>
          <w:sz w:val="20"/>
          <w:szCs w:val="20"/>
          <w:lang w:val="en-US"/>
        </w:rPr>
        <w:t>Reduktion</w:t>
      </w:r>
      <w:proofErr w:type="spellEnd"/>
      <w:r w:rsidRPr="00DD6FE7">
        <w:rPr>
          <w:rFonts w:ascii="Segoe UI" w:hAnsi="Segoe UI" w:cs="Segoe UI"/>
          <w:sz w:val="20"/>
          <w:szCs w:val="20"/>
          <w:lang w:val="en-US"/>
        </w:rPr>
        <w:t xml:space="preserve"> von THZ </w:t>
      </w:r>
      <w:proofErr w:type="spellStart"/>
      <w:r w:rsidRPr="00DD6FE7">
        <w:rPr>
          <w:rFonts w:ascii="Segoe UI" w:hAnsi="Segoe UI" w:cs="Segoe UI"/>
          <w:sz w:val="20"/>
          <w:szCs w:val="20"/>
          <w:lang w:val="en-US"/>
        </w:rPr>
        <w:t>nahe</w:t>
      </w:r>
      <w:proofErr w:type="spellEnd"/>
      <w:r w:rsidRPr="00DD6FE7">
        <w:rPr>
          <w:rFonts w:ascii="Segoe UI" w:hAnsi="Segoe UI" w:cs="Segoe UI"/>
          <w:sz w:val="20"/>
          <w:szCs w:val="20"/>
          <w:lang w:val="en-US"/>
        </w:rPr>
        <w:t xml:space="preserve"> („Analysis of variance indicated that moxifloxacin and ciprofloxacin decreased the number of cells expressing both IFN-</w:t>
      </w:r>
      <w:r>
        <w:rPr>
          <w:rFonts w:ascii="Segoe UI" w:hAnsi="Segoe UI" w:cs="Segoe UI"/>
          <w:sz w:val="20"/>
          <w:szCs w:val="20"/>
        </w:rPr>
        <w:t>γ</w:t>
      </w:r>
      <w:r w:rsidRPr="00DD6FE7">
        <w:rPr>
          <w:rFonts w:ascii="Segoe UI" w:hAnsi="Segoe UI" w:cs="Segoe UI"/>
          <w:sz w:val="20"/>
          <w:szCs w:val="20"/>
          <w:lang w:val="en-US"/>
        </w:rPr>
        <w:t xml:space="preserve"> and IL-4 in stimulated cells (all P &lt; 0.0001) in a concentration-dependent manner.“ </w:t>
      </w:r>
      <w:hyperlink r:id="rId35" w:tgtFrame="_blank" w:history="1">
        <w:r w:rsidRPr="00DD6FE7">
          <w:rPr>
            <w:rStyle w:val="Hyperlink"/>
            <w:rFonts w:ascii="Segoe UI" w:hAnsi="Segoe UI" w:cs="Segoe UI"/>
            <w:sz w:val="20"/>
            <w:szCs w:val="20"/>
            <w:lang w:val="en-US"/>
          </w:rPr>
          <w:t>http://jac.oxfordjournals.org/content/56/3/502.full.pdf,</w:t>
        </w:r>
      </w:hyperlink>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suggerieren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eine</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Beeinflussung</w:t>
      </w:r>
      <w:proofErr w:type="spellEnd"/>
      <w:r w:rsidRPr="00DD6FE7">
        <w:rPr>
          <w:rFonts w:ascii="Segoe UI" w:hAnsi="Segoe UI" w:cs="Segoe UI"/>
          <w:sz w:val="20"/>
          <w:szCs w:val="20"/>
          <w:lang w:val="en-US"/>
        </w:rPr>
        <w:t xml:space="preserve"> der </w:t>
      </w:r>
      <w:proofErr w:type="spellStart"/>
      <w:r w:rsidRPr="00DD6FE7">
        <w:rPr>
          <w:rFonts w:ascii="Segoe UI" w:hAnsi="Segoe UI" w:cs="Segoe UI"/>
          <w:sz w:val="20"/>
          <w:szCs w:val="20"/>
          <w:lang w:val="en-US"/>
        </w:rPr>
        <w:t>Genexpression</w:t>
      </w:r>
      <w:proofErr w:type="spellEnd"/>
      <w:r w:rsidRPr="00DD6FE7">
        <w:rPr>
          <w:rFonts w:ascii="Segoe UI" w:hAnsi="Segoe UI" w:cs="Segoe UI"/>
          <w:sz w:val="20"/>
          <w:szCs w:val="20"/>
          <w:lang w:val="en-US"/>
        </w:rPr>
        <w:t xml:space="preserve"> von THZ </w:t>
      </w:r>
      <w:proofErr w:type="spellStart"/>
      <w:r w:rsidRPr="00DD6FE7">
        <w:rPr>
          <w:rFonts w:ascii="Segoe UI" w:hAnsi="Segoe UI" w:cs="Segoe UI"/>
          <w:sz w:val="20"/>
          <w:szCs w:val="20"/>
          <w:lang w:val="en-US"/>
        </w:rPr>
        <w:t>nach</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kurzfristiger</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Inkubation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mit</w:t>
      </w:r>
      <w:proofErr w:type="spellEnd"/>
      <w:r w:rsidRPr="00DD6FE7">
        <w:rPr>
          <w:rFonts w:ascii="Segoe UI" w:hAnsi="Segoe UI" w:cs="Segoe UI"/>
          <w:sz w:val="20"/>
          <w:szCs w:val="20"/>
          <w:lang w:val="en-US"/>
        </w:rPr>
        <w:t xml:space="preserve"> Ciprofloxacin („At ≥3 h of incubation, a higher level of AP-1 binding was detected in CD4+ T-cell extracts purified from activated cells incubated with ciprofloxacin compared to that in drug-free controls.“ </w:t>
      </w:r>
      <w:hyperlink r:id="rId36" w:tgtFrame="_blank" w:history="1">
        <w:r w:rsidRPr="00DD6FE7">
          <w:rPr>
            <w:rStyle w:val="Hyperlink"/>
            <w:rFonts w:ascii="Segoe UI" w:hAnsi="Segoe UI" w:cs="Segoe UI"/>
            <w:sz w:val="20"/>
            <w:szCs w:val="20"/>
            <w:lang w:val="en-US"/>
          </w:rPr>
          <w:t>https://www.ncbi.nlm.nih.gov/pmc/articles/PMC105711/</w:t>
        </w:r>
      </w:hyperlink>
      <w:r w:rsidRPr="00DD6FE7">
        <w:rPr>
          <w:rFonts w:ascii="Segoe UI" w:hAnsi="Segoe UI" w:cs="Segoe UI"/>
          <w:sz w:val="20"/>
          <w:szCs w:val="20"/>
          <w:lang w:val="en-US"/>
        </w:rPr>
        <w:t xml:space="preserve">) und </w:t>
      </w:r>
      <w:proofErr w:type="spellStart"/>
      <w:r w:rsidRPr="00DD6FE7">
        <w:rPr>
          <w:rFonts w:ascii="Segoe UI" w:hAnsi="Segoe UI" w:cs="Segoe UI"/>
          <w:sz w:val="20"/>
          <w:szCs w:val="20"/>
          <w:lang w:val="en-US"/>
        </w:rPr>
        <w:t>bestätigen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eine</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Reduktion</w:t>
      </w:r>
      <w:proofErr w:type="spellEnd"/>
      <w:r w:rsidRPr="00DD6FE7">
        <w:rPr>
          <w:rFonts w:ascii="Segoe UI" w:hAnsi="Segoe UI" w:cs="Segoe UI"/>
          <w:sz w:val="20"/>
          <w:szCs w:val="20"/>
          <w:lang w:val="en-US"/>
        </w:rPr>
        <w:t xml:space="preserve"> der </w:t>
      </w:r>
      <w:proofErr w:type="spellStart"/>
      <w:r w:rsidRPr="00DD6FE7">
        <w:rPr>
          <w:rFonts w:ascii="Segoe UI" w:hAnsi="Segoe UI" w:cs="Segoe UI"/>
          <w:sz w:val="20"/>
          <w:szCs w:val="20"/>
          <w:lang w:val="en-US"/>
        </w:rPr>
        <w:t>mitochondrialen</w:t>
      </w:r>
      <w:proofErr w:type="spellEnd"/>
      <w:r w:rsidRPr="00DD6FE7">
        <w:rPr>
          <w:rFonts w:ascii="Segoe UI" w:hAnsi="Segoe UI" w:cs="Segoe UI"/>
          <w:sz w:val="20"/>
          <w:szCs w:val="20"/>
          <w:lang w:val="en-US"/>
        </w:rPr>
        <w:t xml:space="preserve"> DNA (</w:t>
      </w:r>
      <w:proofErr w:type="spellStart"/>
      <w:r w:rsidRPr="00DD6FE7">
        <w:rPr>
          <w:rFonts w:ascii="Segoe UI" w:hAnsi="Segoe UI" w:cs="Segoe UI"/>
          <w:sz w:val="20"/>
          <w:szCs w:val="20"/>
          <w:lang w:val="en-US"/>
        </w:rPr>
        <w:t>mtDNA</w:t>
      </w:r>
      <w:proofErr w:type="spellEnd"/>
      <w:r w:rsidRPr="00DD6FE7">
        <w:rPr>
          <w:rFonts w:ascii="Segoe UI" w:hAnsi="Segoe UI" w:cs="Segoe UI"/>
          <w:sz w:val="20"/>
          <w:szCs w:val="20"/>
          <w:lang w:val="en-US"/>
        </w:rPr>
        <w:t xml:space="preserve">) von THZ </w:t>
      </w:r>
      <w:proofErr w:type="spellStart"/>
      <w:r w:rsidRPr="00DD6FE7">
        <w:rPr>
          <w:rFonts w:ascii="Segoe UI" w:hAnsi="Segoe UI" w:cs="Segoe UI"/>
          <w:sz w:val="20"/>
          <w:szCs w:val="20"/>
          <w:lang w:val="en-US"/>
        </w:rPr>
        <w:t>nach</w:t>
      </w:r>
      <w:proofErr w:type="spellEnd"/>
      <w:r w:rsidRPr="00DD6FE7">
        <w:rPr>
          <w:rFonts w:ascii="Segoe UI" w:hAnsi="Segoe UI" w:cs="Segoe UI"/>
          <w:sz w:val="20"/>
          <w:szCs w:val="20"/>
          <w:lang w:val="en-US"/>
        </w:rPr>
        <w:t xml:space="preserve"> 7-tägiger </w:t>
      </w:r>
      <w:proofErr w:type="spellStart"/>
      <w:r w:rsidRPr="00DD6FE7">
        <w:rPr>
          <w:rFonts w:ascii="Segoe UI" w:hAnsi="Segoe UI" w:cs="Segoe UI"/>
          <w:sz w:val="20"/>
          <w:szCs w:val="20"/>
          <w:lang w:val="en-US"/>
        </w:rPr>
        <w:t>Inkubation</w:t>
      </w:r>
      <w:proofErr w:type="spellEnd"/>
      <w:r w:rsidRPr="00DD6FE7">
        <w:rPr>
          <w:rFonts w:ascii="Segoe UI" w:hAnsi="Segoe UI" w:cs="Segoe UI"/>
          <w:sz w:val="20"/>
          <w:szCs w:val="20"/>
          <w:lang w:val="en-US"/>
        </w:rPr>
        <w:t xml:space="preserve"> </w:t>
      </w:r>
      <w:proofErr w:type="spellStart"/>
      <w:r w:rsidRPr="00DD6FE7">
        <w:rPr>
          <w:rFonts w:ascii="Segoe UI" w:hAnsi="Segoe UI" w:cs="Segoe UI"/>
          <w:sz w:val="20"/>
          <w:szCs w:val="20"/>
          <w:lang w:val="en-US"/>
        </w:rPr>
        <w:t>mit</w:t>
      </w:r>
      <w:proofErr w:type="spellEnd"/>
      <w:r w:rsidRPr="00DD6FE7">
        <w:rPr>
          <w:rFonts w:ascii="Segoe UI" w:hAnsi="Segoe UI" w:cs="Segoe UI"/>
          <w:sz w:val="20"/>
          <w:szCs w:val="20"/>
          <w:lang w:val="en-US"/>
        </w:rPr>
        <w:t xml:space="preserve"> Ciprofloxacin („Supporting previously published data, we show that long-term ciprofloxacin treatment (7 d) of mitogen-activated proliferating peripheral human T lymphocytes led to a decreased </w:t>
      </w:r>
      <w:proofErr w:type="spellStart"/>
      <w:r w:rsidRPr="00DD6FE7">
        <w:rPr>
          <w:rFonts w:ascii="Segoe UI" w:hAnsi="Segoe UI" w:cs="Segoe UI"/>
          <w:sz w:val="20"/>
          <w:szCs w:val="20"/>
          <w:lang w:val="en-US"/>
        </w:rPr>
        <w:t>mtDNA</w:t>
      </w:r>
      <w:proofErr w:type="spellEnd"/>
      <w:r w:rsidRPr="00DD6FE7">
        <w:rPr>
          <w:rFonts w:ascii="Segoe UI" w:hAnsi="Segoe UI" w:cs="Segoe UI"/>
          <w:sz w:val="20"/>
          <w:szCs w:val="20"/>
          <w:lang w:val="en-US"/>
        </w:rPr>
        <w:t xml:space="preserve"> content.“ </w:t>
      </w:r>
      <w:hyperlink r:id="rId37" w:tgtFrame="_blank" w:history="1">
        <w:r>
          <w:rPr>
            <w:rStyle w:val="Hyperlink"/>
            <w:rFonts w:ascii="Segoe UI" w:hAnsi="Segoe UI" w:cs="Segoe UI"/>
            <w:color w:val="0066CC"/>
            <w:sz w:val="20"/>
            <w:szCs w:val="20"/>
          </w:rPr>
          <w:t>http://www.jimmunol.org/content/184/9/4827.full.pdf</w:t>
        </w:r>
      </w:hyperlink>
      <w:r>
        <w:rPr>
          <w:rFonts w:ascii="Segoe UI" w:hAnsi="Segoe UI" w:cs="Segoe UI"/>
          <w:sz w:val="20"/>
          <w:szCs w:val="20"/>
        </w:rPr>
        <w:t>).</w:t>
      </w:r>
    </w:p>
    <w:p w:rsidR="00DB68A3" w:rsidRDefault="00DB68A3" w:rsidP="00DB68A3">
      <w:pPr>
        <w:pStyle w:val="StandardWeb"/>
        <w:spacing w:after="0" w:afterAutospacing="0"/>
        <w:rPr>
          <w:rFonts w:ascii="Verdana" w:hAnsi="Verdana"/>
          <w:sz w:val="18"/>
          <w:szCs w:val="18"/>
        </w:rPr>
      </w:pPr>
      <w:r>
        <w:rPr>
          <w:rFonts w:ascii="Segoe UI" w:hAnsi="Segoe UI" w:cs="Segoe UI"/>
          <w:sz w:val="20"/>
          <w:szCs w:val="20"/>
        </w:rPr>
        <w:t xml:space="preserve">Der </w:t>
      </w:r>
      <w:proofErr w:type="spellStart"/>
      <w:r>
        <w:rPr>
          <w:rFonts w:ascii="Segoe UI" w:hAnsi="Segoe UI" w:cs="Segoe UI"/>
          <w:sz w:val="20"/>
          <w:szCs w:val="20"/>
        </w:rPr>
        <w:t>pathobiochemische</w:t>
      </w:r>
      <w:proofErr w:type="spellEnd"/>
      <w:r>
        <w:rPr>
          <w:rFonts w:ascii="Segoe UI" w:hAnsi="Segoe UI" w:cs="Segoe UI"/>
          <w:sz w:val="20"/>
          <w:szCs w:val="20"/>
        </w:rPr>
        <w:t xml:space="preserve"> Prozess ließe sich auf eine Störung des </w:t>
      </w:r>
      <w:proofErr w:type="spellStart"/>
      <w:r>
        <w:rPr>
          <w:rFonts w:ascii="Segoe UI" w:hAnsi="Segoe UI" w:cs="Segoe UI"/>
          <w:sz w:val="20"/>
          <w:szCs w:val="20"/>
        </w:rPr>
        <w:t>Tryptophanstoffwechsels</w:t>
      </w:r>
      <w:proofErr w:type="spellEnd"/>
      <w:r>
        <w:rPr>
          <w:rFonts w:ascii="Segoe UI" w:hAnsi="Segoe UI" w:cs="Segoe UI"/>
          <w:sz w:val="20"/>
          <w:szCs w:val="20"/>
        </w:rPr>
        <w:t xml:space="preserve"> durch den potentiellen </w:t>
      </w:r>
      <w:proofErr w:type="spellStart"/>
      <w:r>
        <w:rPr>
          <w:rFonts w:ascii="Segoe UI" w:hAnsi="Segoe UI" w:cs="Segoe UI"/>
          <w:sz w:val="20"/>
          <w:szCs w:val="20"/>
        </w:rPr>
        <w:t>Fluorchinolonmetaboliten</w:t>
      </w:r>
      <w:proofErr w:type="spellEnd"/>
      <w:r>
        <w:rPr>
          <w:rFonts w:ascii="Segoe UI" w:hAnsi="Segoe UI" w:cs="Segoe UI"/>
          <w:sz w:val="20"/>
          <w:szCs w:val="20"/>
        </w:rPr>
        <w:t xml:space="preserve"> 5-Fluortryptophan (5FT) zurückführen. Entsprechende </w:t>
      </w:r>
      <w:proofErr w:type="spellStart"/>
      <w:r>
        <w:rPr>
          <w:rFonts w:ascii="Segoe UI" w:hAnsi="Segoe UI" w:cs="Segoe UI"/>
          <w:sz w:val="20"/>
          <w:szCs w:val="20"/>
        </w:rPr>
        <w:t>Präkursoren</w:t>
      </w:r>
      <w:proofErr w:type="spellEnd"/>
      <w:r>
        <w:rPr>
          <w:rFonts w:ascii="Segoe UI" w:hAnsi="Segoe UI" w:cs="Segoe UI"/>
          <w:sz w:val="20"/>
          <w:szCs w:val="20"/>
        </w:rPr>
        <w:t xml:space="preserve"> (fluorierte Isatin- und </w:t>
      </w:r>
      <w:proofErr w:type="spellStart"/>
      <w:r>
        <w:rPr>
          <w:rFonts w:ascii="Segoe UI" w:hAnsi="Segoe UI" w:cs="Segoe UI"/>
          <w:sz w:val="20"/>
          <w:szCs w:val="20"/>
        </w:rPr>
        <w:t>Anthranilsäurederivate</w:t>
      </w:r>
      <w:proofErr w:type="spellEnd"/>
      <w:r>
        <w:rPr>
          <w:rFonts w:ascii="Segoe UI" w:hAnsi="Segoe UI" w:cs="Segoe UI"/>
          <w:sz w:val="20"/>
          <w:szCs w:val="20"/>
        </w:rPr>
        <w:t xml:space="preserve">) wurden in Biodegradationsstudien mit </w:t>
      </w:r>
      <w:proofErr w:type="spellStart"/>
      <w:r>
        <w:rPr>
          <w:rFonts w:ascii="Segoe UI" w:hAnsi="Segoe UI" w:cs="Segoe UI"/>
          <w:sz w:val="20"/>
          <w:szCs w:val="20"/>
        </w:rPr>
        <w:t>Enro</w:t>
      </w:r>
      <w:proofErr w:type="spellEnd"/>
      <w:r>
        <w:rPr>
          <w:rFonts w:ascii="Segoe UI" w:hAnsi="Segoe UI" w:cs="Segoe UI"/>
          <w:sz w:val="20"/>
          <w:szCs w:val="20"/>
        </w:rPr>
        <w:t xml:space="preserve">-, </w:t>
      </w:r>
      <w:proofErr w:type="spellStart"/>
      <w:r>
        <w:rPr>
          <w:rFonts w:ascii="Segoe UI" w:hAnsi="Segoe UI" w:cs="Segoe UI"/>
          <w:sz w:val="20"/>
          <w:szCs w:val="20"/>
        </w:rPr>
        <w:t>Cipro</w:t>
      </w:r>
      <w:proofErr w:type="spellEnd"/>
      <w:r>
        <w:rPr>
          <w:rFonts w:ascii="Segoe UI" w:hAnsi="Segoe UI" w:cs="Segoe UI"/>
          <w:sz w:val="20"/>
          <w:szCs w:val="20"/>
        </w:rPr>
        <w:t xml:space="preserve">- und </w:t>
      </w:r>
      <w:proofErr w:type="spellStart"/>
      <w:r>
        <w:rPr>
          <w:rFonts w:ascii="Segoe UI" w:hAnsi="Segoe UI" w:cs="Segoe UI"/>
          <w:sz w:val="20"/>
          <w:szCs w:val="20"/>
        </w:rPr>
        <w:t>Levofloxacin</w:t>
      </w:r>
      <w:proofErr w:type="spellEnd"/>
      <w:r>
        <w:rPr>
          <w:rFonts w:ascii="Segoe UI" w:hAnsi="Segoe UI" w:cs="Segoe UI"/>
          <w:sz w:val="20"/>
          <w:szCs w:val="20"/>
        </w:rPr>
        <w:t xml:space="preserve"> beobachtet (</w:t>
      </w:r>
      <w:hyperlink r:id="rId38" w:tgtFrame="_blank" w:history="1">
        <w:r>
          <w:rPr>
            <w:rStyle w:val="Hyperlink"/>
            <w:rFonts w:ascii="Segoe UI" w:hAnsi="Segoe UI" w:cs="Segoe UI"/>
            <w:color w:val="0066CC"/>
            <w:sz w:val="20"/>
            <w:szCs w:val="20"/>
          </w:rPr>
          <w:t>https://www.ncbi.nlm.nih.gov/pmc/articles/PMC168747/pdf/634272.pdf</w:t>
        </w:r>
      </w:hyperlink>
      <w:r>
        <w:rPr>
          <w:rFonts w:ascii="Segoe UI" w:hAnsi="Segoe UI" w:cs="Segoe UI"/>
          <w:sz w:val="20"/>
          <w:szCs w:val="20"/>
        </w:rPr>
        <w:t xml:space="preserve">; </w:t>
      </w:r>
      <w:hyperlink r:id="rId39" w:tgtFrame="_blank" w:history="1">
        <w:r>
          <w:rPr>
            <w:rStyle w:val="Hyperlink"/>
            <w:rFonts w:ascii="Segoe UI" w:hAnsi="Segoe UI" w:cs="Segoe UI"/>
            <w:color w:val="0066CC"/>
            <w:sz w:val="20"/>
            <w:szCs w:val="20"/>
          </w:rPr>
          <w:t>https://www.ncbi.nlm.nih.gov/pmc/articles/PMC91220/</w:t>
        </w:r>
      </w:hyperlink>
      <w:r>
        <w:rPr>
          <w:rFonts w:ascii="Segoe UI" w:hAnsi="Segoe UI" w:cs="Segoe UI"/>
          <w:sz w:val="20"/>
          <w:szCs w:val="20"/>
        </w:rPr>
        <w:t xml:space="preserve">; </w:t>
      </w:r>
      <w:hyperlink r:id="rId40" w:tgtFrame="_blank" w:history="1">
        <w:r>
          <w:rPr>
            <w:rStyle w:val="Hyperlink"/>
            <w:rFonts w:ascii="Segoe UI" w:hAnsi="Segoe UI" w:cs="Segoe UI"/>
            <w:color w:val="0066CC"/>
            <w:sz w:val="20"/>
            <w:szCs w:val="20"/>
          </w:rPr>
          <w:t>https://www.researchgate.net/publication/23147300_Ozonation_of_Ciprofloxacin_in_Water_HRMS_Identification_of_Reaction_Products_and_Pathways</w:t>
        </w:r>
      </w:hyperlink>
      <w:r>
        <w:rPr>
          <w:rFonts w:ascii="Segoe UI" w:hAnsi="Segoe UI" w:cs="Segoe UI"/>
          <w:sz w:val="20"/>
          <w:szCs w:val="20"/>
        </w:rPr>
        <w:t xml:space="preserve">; </w:t>
      </w:r>
      <w:hyperlink r:id="rId41" w:tgtFrame="_blank" w:history="1">
        <w:r>
          <w:rPr>
            <w:rStyle w:val="Hyperlink"/>
            <w:rFonts w:ascii="Segoe UI" w:hAnsi="Segoe UI" w:cs="Segoe UI"/>
            <w:color w:val="0066CC"/>
            <w:sz w:val="20"/>
            <w:szCs w:val="20"/>
          </w:rPr>
          <w:t>https://www.researchgate.net/publication/24360365_Levofloxacin_ozonation_in_water_Rate_determining_process_parameters_and_reaction_pathway_elucidation</w:t>
        </w:r>
      </w:hyperlink>
      <w:r>
        <w:rPr>
          <w:rFonts w:ascii="Segoe UI" w:hAnsi="Segoe UI" w:cs="Segoe UI"/>
          <w:sz w:val="20"/>
          <w:szCs w:val="20"/>
        </w:rPr>
        <w:t>).</w:t>
      </w:r>
    </w:p>
    <w:p w:rsidR="00DB68A3" w:rsidRDefault="00DB68A3" w:rsidP="00DB68A3">
      <w:pPr>
        <w:pStyle w:val="StandardWeb"/>
        <w:spacing w:after="0" w:afterAutospacing="0"/>
        <w:rPr>
          <w:rFonts w:ascii="Verdana" w:hAnsi="Verdana"/>
          <w:sz w:val="18"/>
          <w:szCs w:val="18"/>
        </w:rPr>
      </w:pPr>
      <w:r>
        <w:rPr>
          <w:rFonts w:ascii="Segoe UI" w:hAnsi="Segoe UI" w:cs="Segoe UI"/>
          <w:sz w:val="20"/>
          <w:szCs w:val="20"/>
        </w:rPr>
        <w:t xml:space="preserve">Zudem wurde in zahlreichen physikochemischen Studien zur Fluoreszenzlöschung </w:t>
      </w:r>
      <w:proofErr w:type="spellStart"/>
      <w:r>
        <w:rPr>
          <w:rFonts w:ascii="Segoe UI" w:hAnsi="Segoe UI" w:cs="Segoe UI"/>
          <w:sz w:val="20"/>
          <w:szCs w:val="20"/>
        </w:rPr>
        <w:t>tryptophanhaltiger</w:t>
      </w:r>
      <w:proofErr w:type="spellEnd"/>
      <w:r>
        <w:rPr>
          <w:rFonts w:ascii="Segoe UI" w:hAnsi="Segoe UI" w:cs="Segoe UI"/>
          <w:sz w:val="20"/>
          <w:szCs w:val="20"/>
        </w:rPr>
        <w:t xml:space="preserve"> Transmembranproteine eindrücklich dokumentiert, dass </w:t>
      </w:r>
      <w:proofErr w:type="spellStart"/>
      <w:r>
        <w:rPr>
          <w:rFonts w:ascii="Segoe UI" w:hAnsi="Segoe UI" w:cs="Segoe UI"/>
          <w:sz w:val="20"/>
          <w:szCs w:val="20"/>
        </w:rPr>
        <w:t>Ciprofloxacin</w:t>
      </w:r>
      <w:proofErr w:type="spellEnd"/>
      <w:r>
        <w:rPr>
          <w:rFonts w:ascii="Segoe UI" w:hAnsi="Segoe UI" w:cs="Segoe UI"/>
          <w:sz w:val="20"/>
          <w:szCs w:val="20"/>
        </w:rPr>
        <w:t xml:space="preserve"> und strukturanaloge </w:t>
      </w:r>
      <w:proofErr w:type="spellStart"/>
      <w:r>
        <w:rPr>
          <w:rFonts w:ascii="Segoe UI" w:hAnsi="Segoe UI" w:cs="Segoe UI"/>
          <w:sz w:val="20"/>
          <w:szCs w:val="20"/>
        </w:rPr>
        <w:t>Fluorchinolone</w:t>
      </w:r>
      <w:proofErr w:type="spellEnd"/>
      <w:r>
        <w:rPr>
          <w:rFonts w:ascii="Segoe UI" w:hAnsi="Segoe UI" w:cs="Segoe UI"/>
          <w:sz w:val="20"/>
          <w:szCs w:val="20"/>
        </w:rPr>
        <w:t xml:space="preserve"> mit </w:t>
      </w:r>
      <w:proofErr w:type="spellStart"/>
      <w:r>
        <w:rPr>
          <w:rFonts w:ascii="Segoe UI" w:hAnsi="Segoe UI" w:cs="Segoe UI"/>
          <w:sz w:val="20"/>
          <w:szCs w:val="20"/>
        </w:rPr>
        <w:t>Tryptophanresiduen</w:t>
      </w:r>
      <w:proofErr w:type="spellEnd"/>
      <w:r>
        <w:rPr>
          <w:rFonts w:ascii="Segoe UI" w:hAnsi="Segoe UI" w:cs="Segoe UI"/>
          <w:sz w:val="20"/>
          <w:szCs w:val="20"/>
        </w:rPr>
        <w:t xml:space="preserve"> </w:t>
      </w:r>
      <w:proofErr w:type="spellStart"/>
      <w:r>
        <w:rPr>
          <w:rFonts w:ascii="Segoe UI" w:hAnsi="Segoe UI" w:cs="Segoe UI"/>
          <w:sz w:val="20"/>
          <w:szCs w:val="20"/>
        </w:rPr>
        <w:t>komplexieren</w:t>
      </w:r>
      <w:proofErr w:type="spellEnd"/>
      <w:r>
        <w:rPr>
          <w:rFonts w:ascii="Segoe UI" w:hAnsi="Segoe UI" w:cs="Segoe UI"/>
          <w:sz w:val="20"/>
          <w:szCs w:val="20"/>
        </w:rPr>
        <w:t xml:space="preserve"> (</w:t>
      </w:r>
      <w:hyperlink r:id="rId42" w:tgtFrame="_blank" w:history="1">
        <w:r>
          <w:rPr>
            <w:rStyle w:val="Hyperlink"/>
            <w:rFonts w:ascii="Segoe UI" w:hAnsi="Segoe UI" w:cs="Segoe UI"/>
            <w:color w:val="0066CC"/>
            <w:sz w:val="20"/>
            <w:szCs w:val="20"/>
          </w:rPr>
          <w:t>http://www.tandfonline.com/doi/abs/10.1080/00032719.2010.546020</w:t>
        </w:r>
      </w:hyperlink>
      <w:r>
        <w:rPr>
          <w:rFonts w:ascii="Segoe UI" w:hAnsi="Segoe UI" w:cs="Segoe UI"/>
          <w:sz w:val="20"/>
          <w:szCs w:val="20"/>
        </w:rPr>
        <w:t xml:space="preserve">; </w:t>
      </w:r>
      <w:hyperlink r:id="rId43" w:tgtFrame="_blank" w:history="1">
        <w:r>
          <w:rPr>
            <w:rStyle w:val="Hyperlink"/>
            <w:rFonts w:ascii="Segoe UI" w:hAnsi="Segoe UI" w:cs="Segoe UI"/>
            <w:color w:val="0066CC"/>
            <w:sz w:val="20"/>
            <w:szCs w:val="20"/>
          </w:rPr>
          <w:t>https://www.researchgate.net/publication/5943299_Ciprofloxacin_interactions_with_bacterial_protein_OmpF_Modelling_of_FRET_from_a_multi-tryptophan_protein_trimer</w:t>
        </w:r>
      </w:hyperlink>
      <w:r>
        <w:rPr>
          <w:rFonts w:ascii="Segoe UI" w:hAnsi="Segoe UI" w:cs="Segoe UI"/>
          <w:sz w:val="20"/>
          <w:szCs w:val="20"/>
        </w:rPr>
        <w:t xml:space="preserve">; </w:t>
      </w:r>
      <w:hyperlink r:id="rId44" w:tgtFrame="_blank" w:history="1">
        <w:r>
          <w:rPr>
            <w:rStyle w:val="Hyperlink"/>
            <w:rFonts w:ascii="Segoe UI" w:hAnsi="Segoe UI" w:cs="Segoe UI"/>
            <w:color w:val="0066CC"/>
            <w:sz w:val="20"/>
            <w:szCs w:val="20"/>
          </w:rPr>
          <w:t>https://www.ncbi.nlm.nih.gov/pubmed/21234661</w:t>
        </w:r>
      </w:hyperlink>
      <w:r>
        <w:rPr>
          <w:rFonts w:ascii="Segoe UI" w:hAnsi="Segoe UI" w:cs="Segoe UI"/>
          <w:sz w:val="20"/>
          <w:szCs w:val="20"/>
        </w:rPr>
        <w:t xml:space="preserve">; </w:t>
      </w:r>
      <w:hyperlink r:id="rId45" w:tgtFrame="_blank" w:history="1">
        <w:r>
          <w:rPr>
            <w:rStyle w:val="Hyperlink"/>
            <w:rFonts w:ascii="Segoe UI" w:hAnsi="Segoe UI" w:cs="Segoe UI"/>
            <w:color w:val="0066CC"/>
            <w:sz w:val="20"/>
            <w:szCs w:val="20"/>
          </w:rPr>
          <w:t>https://www.researchgate.net/publication/223764458_Complexation_of_fluoroquinolone_antibiotics_with_human_serum_albumin_A_fluorescence_quenching_study</w:t>
        </w:r>
      </w:hyperlink>
      <w:r>
        <w:rPr>
          <w:rFonts w:ascii="Segoe UI" w:hAnsi="Segoe UI" w:cs="Segoe UI"/>
          <w:sz w:val="20"/>
          <w:szCs w:val="20"/>
        </w:rPr>
        <w:t xml:space="preserve">; </w:t>
      </w:r>
      <w:hyperlink r:id="rId46" w:tgtFrame="_blank" w:history="1">
        <w:r>
          <w:rPr>
            <w:rStyle w:val="Hyperlink"/>
            <w:rFonts w:ascii="Segoe UI" w:hAnsi="Segoe UI" w:cs="Segoe UI"/>
            <w:color w:val="0066CC"/>
            <w:sz w:val="20"/>
            <w:szCs w:val="20"/>
          </w:rPr>
          <w:t>https://www.researchgate.net/publication/221851141_Deciphering_the_role_of_pH_in_the_binding_of_Ciprofloxacin_Hydrochloride_to_Bovine_Serum_Albumin</w:t>
        </w:r>
      </w:hyperlink>
      <w:r>
        <w:rPr>
          <w:rFonts w:ascii="Segoe UI" w:hAnsi="Segoe UI" w:cs="Segoe UI"/>
          <w:sz w:val="20"/>
          <w:szCs w:val="20"/>
        </w:rPr>
        <w:t xml:space="preserve">; </w:t>
      </w:r>
      <w:hyperlink r:id="rId47" w:tgtFrame="_blank" w:history="1">
        <w:r>
          <w:rPr>
            <w:rStyle w:val="Hyperlink"/>
            <w:rFonts w:ascii="Segoe UI" w:hAnsi="Segoe UI" w:cs="Segoe UI"/>
            <w:color w:val="0066CC"/>
            <w:sz w:val="20"/>
            <w:szCs w:val="20"/>
          </w:rPr>
          <w:t>https://www.ncbi.nlm.nih.gov/pubmed/16379288</w:t>
        </w:r>
      </w:hyperlink>
      <w:r>
        <w:rPr>
          <w:rFonts w:ascii="Segoe UI" w:hAnsi="Segoe UI" w:cs="Segoe UI"/>
          <w:sz w:val="20"/>
          <w:szCs w:val="20"/>
        </w:rPr>
        <w:t xml:space="preserve">). Den Studienergebnissen ist zu entnehmen, dass es sich hierbei um einen selektiven Mechanismus handelt, der zu strukturellen Veränderungen betroffener Proteine führt. An dieser Stelle sei betont, dass Tryptophan die seltenste aller Aminosäuren ist. Die spezifische Interaktion zwischen </w:t>
      </w:r>
      <w:proofErr w:type="spellStart"/>
      <w:r>
        <w:rPr>
          <w:rFonts w:ascii="Segoe UI" w:hAnsi="Segoe UI" w:cs="Segoe UI"/>
          <w:sz w:val="20"/>
          <w:szCs w:val="20"/>
        </w:rPr>
        <w:t>Fluorchinolonen</w:t>
      </w:r>
      <w:proofErr w:type="spellEnd"/>
      <w:r>
        <w:rPr>
          <w:rFonts w:ascii="Segoe UI" w:hAnsi="Segoe UI" w:cs="Segoe UI"/>
          <w:sz w:val="20"/>
          <w:szCs w:val="20"/>
        </w:rPr>
        <w:t xml:space="preserve"> und </w:t>
      </w:r>
      <w:proofErr w:type="spellStart"/>
      <w:r>
        <w:rPr>
          <w:rFonts w:ascii="Segoe UI" w:hAnsi="Segoe UI" w:cs="Segoe UI"/>
          <w:sz w:val="20"/>
          <w:szCs w:val="20"/>
        </w:rPr>
        <w:t>Tryptophanresten</w:t>
      </w:r>
      <w:proofErr w:type="spellEnd"/>
      <w:r>
        <w:rPr>
          <w:rFonts w:ascii="Segoe UI" w:hAnsi="Segoe UI" w:cs="Segoe UI"/>
          <w:sz w:val="20"/>
          <w:szCs w:val="20"/>
        </w:rPr>
        <w:t xml:space="preserve"> deutet somit auf potentielle Störungen des </w:t>
      </w:r>
      <w:proofErr w:type="spellStart"/>
      <w:r>
        <w:rPr>
          <w:rFonts w:ascii="Segoe UI" w:hAnsi="Segoe UI" w:cs="Segoe UI"/>
          <w:sz w:val="20"/>
          <w:szCs w:val="20"/>
        </w:rPr>
        <w:t>Tryptophanstoffwechsels</w:t>
      </w:r>
      <w:proofErr w:type="spellEnd"/>
      <w:r>
        <w:rPr>
          <w:rFonts w:ascii="Segoe UI" w:hAnsi="Segoe UI" w:cs="Segoe UI"/>
          <w:sz w:val="20"/>
          <w:szCs w:val="20"/>
        </w:rPr>
        <w:t xml:space="preserve"> und </w:t>
      </w:r>
      <w:proofErr w:type="spellStart"/>
      <w:r>
        <w:rPr>
          <w:rFonts w:ascii="Segoe UI" w:hAnsi="Segoe UI" w:cs="Segoe UI"/>
          <w:sz w:val="20"/>
          <w:szCs w:val="20"/>
        </w:rPr>
        <w:t>serotonerge</w:t>
      </w:r>
      <w:proofErr w:type="spellEnd"/>
      <w:r>
        <w:rPr>
          <w:rFonts w:ascii="Segoe UI" w:hAnsi="Segoe UI" w:cs="Segoe UI"/>
          <w:sz w:val="20"/>
          <w:szCs w:val="20"/>
        </w:rPr>
        <w:t xml:space="preserve"> </w:t>
      </w:r>
      <w:r>
        <w:rPr>
          <w:rFonts w:ascii="Segoe UI" w:hAnsi="Segoe UI" w:cs="Segoe UI"/>
          <w:sz w:val="20"/>
          <w:szCs w:val="20"/>
        </w:rPr>
        <w:lastRenderedPageBreak/>
        <w:t xml:space="preserve">Wirkungen der </w:t>
      </w:r>
      <w:proofErr w:type="spellStart"/>
      <w:r>
        <w:rPr>
          <w:rFonts w:ascii="Segoe UI" w:hAnsi="Segoe UI" w:cs="Segoe UI"/>
          <w:sz w:val="20"/>
          <w:szCs w:val="20"/>
        </w:rPr>
        <w:t>Flurochinolone</w:t>
      </w:r>
      <w:proofErr w:type="spellEnd"/>
      <w:r>
        <w:rPr>
          <w:rFonts w:ascii="Segoe UI" w:hAnsi="Segoe UI" w:cs="Segoe UI"/>
          <w:sz w:val="20"/>
          <w:szCs w:val="20"/>
        </w:rPr>
        <w:t xml:space="preserve"> (einschließlich Serotoninsyndrom) hin. Nicht-fluorierte </w:t>
      </w:r>
      <w:proofErr w:type="spellStart"/>
      <w:r>
        <w:rPr>
          <w:rFonts w:ascii="Segoe UI" w:hAnsi="Segoe UI" w:cs="Segoe UI"/>
          <w:sz w:val="20"/>
          <w:szCs w:val="20"/>
        </w:rPr>
        <w:t>Nalidixinäure</w:t>
      </w:r>
      <w:proofErr w:type="spellEnd"/>
      <w:r>
        <w:rPr>
          <w:rFonts w:ascii="Segoe UI" w:hAnsi="Segoe UI" w:cs="Segoe UI"/>
          <w:sz w:val="20"/>
          <w:szCs w:val="20"/>
        </w:rPr>
        <w:t xml:space="preserve"> interagiert offenbar weniger stark mit Tryptophan als </w:t>
      </w:r>
      <w:proofErr w:type="spellStart"/>
      <w:r>
        <w:rPr>
          <w:rFonts w:ascii="Segoe UI" w:hAnsi="Segoe UI" w:cs="Segoe UI"/>
          <w:sz w:val="20"/>
          <w:szCs w:val="20"/>
        </w:rPr>
        <w:t>Chinolonderivate</w:t>
      </w:r>
      <w:proofErr w:type="spellEnd"/>
      <w:r>
        <w:rPr>
          <w:rFonts w:ascii="Segoe UI" w:hAnsi="Segoe UI" w:cs="Segoe UI"/>
          <w:sz w:val="20"/>
          <w:szCs w:val="20"/>
        </w:rPr>
        <w:t xml:space="preserve"> mit einem Fluorsubstituenten an Position C-6 (</w:t>
      </w:r>
      <w:hyperlink r:id="rId48" w:tgtFrame="_blank" w:history="1">
        <w:r>
          <w:rPr>
            <w:rStyle w:val="Hyperlink"/>
            <w:rFonts w:ascii="Segoe UI" w:hAnsi="Segoe UI" w:cs="Segoe UI"/>
            <w:color w:val="0066CC"/>
            <w:sz w:val="20"/>
            <w:szCs w:val="20"/>
          </w:rPr>
          <w:t>http://pubs.acs.org/doi/abs/10.1021/ja803188c</w:t>
        </w:r>
      </w:hyperlink>
      <w:r>
        <w:rPr>
          <w:rFonts w:ascii="Segoe UI" w:hAnsi="Segoe UI" w:cs="Segoe UI"/>
          <w:sz w:val="20"/>
          <w:szCs w:val="20"/>
        </w:rPr>
        <w:t>).</w:t>
      </w:r>
    </w:p>
    <w:p w:rsidR="00DB68A3" w:rsidRDefault="00DB68A3" w:rsidP="00DB68A3">
      <w:pPr>
        <w:pStyle w:val="StandardWeb"/>
        <w:spacing w:after="0" w:afterAutospacing="0"/>
        <w:rPr>
          <w:rFonts w:ascii="Segoe UI" w:hAnsi="Segoe UI" w:cs="Segoe UI"/>
          <w:sz w:val="18"/>
          <w:szCs w:val="18"/>
        </w:rPr>
      </w:pPr>
      <w:r>
        <w:rPr>
          <w:rFonts w:ascii="Segoe UI" w:hAnsi="Segoe UI" w:cs="Segoe UI"/>
          <w:sz w:val="20"/>
          <w:szCs w:val="20"/>
        </w:rPr>
        <w:t>Der Prozess der Zellteilung, Proliferation und Differenzierung von THZ ist nachweislich Tryptophan-abhängig; ohne Tryptophan gehen THZ zugrunde (</w:t>
      </w:r>
      <w:hyperlink r:id="rId49" w:tgtFrame="_blank" w:history="1">
        <w:r>
          <w:rPr>
            <w:rStyle w:val="Hyperlink"/>
            <w:rFonts w:ascii="Segoe UI" w:hAnsi="Segoe UI" w:cs="Segoe UI"/>
            <w:color w:val="0066CC"/>
            <w:sz w:val="20"/>
            <w:szCs w:val="20"/>
          </w:rPr>
          <w:t>https://www.ncbi.nlm.nih.gov/pmc/articles/PMC1782830/</w:t>
        </w:r>
      </w:hyperlink>
      <w:r>
        <w:rPr>
          <w:rFonts w:ascii="Segoe UI" w:hAnsi="Segoe UI" w:cs="Segoe UI"/>
          <w:sz w:val="20"/>
          <w:szCs w:val="20"/>
        </w:rPr>
        <w:t xml:space="preserve">; </w:t>
      </w:r>
      <w:hyperlink r:id="rId50" w:tgtFrame="_blank" w:history="1">
        <w:r>
          <w:rPr>
            <w:rStyle w:val="Hyperlink"/>
            <w:rFonts w:ascii="Segoe UI" w:hAnsi="Segoe UI" w:cs="Segoe UI"/>
            <w:sz w:val="20"/>
            <w:szCs w:val="20"/>
          </w:rPr>
          <w:t>http://jem.rupress.org/content/189/9/1363</w:t>
        </w:r>
      </w:hyperlink>
      <w:r>
        <w:rPr>
          <w:rFonts w:ascii="Segoe UI" w:hAnsi="Segoe UI" w:cs="Segoe UI"/>
          <w:sz w:val="20"/>
          <w:szCs w:val="20"/>
        </w:rPr>
        <w:t xml:space="preserve">; </w:t>
      </w:r>
      <w:hyperlink r:id="rId51" w:tgtFrame="_blank" w:history="1">
        <w:r>
          <w:rPr>
            <w:rStyle w:val="Hyperlink"/>
            <w:rFonts w:ascii="Segoe UI" w:hAnsi="Segoe UI" w:cs="Segoe UI"/>
            <w:sz w:val="20"/>
            <w:szCs w:val="20"/>
          </w:rPr>
          <w:t>https://www.ncbi.nlm.nih.gov/pmc/articles/PMC2288791/</w:t>
        </w:r>
      </w:hyperlink>
      <w:r>
        <w:rPr>
          <w:rFonts w:ascii="Segoe UI" w:hAnsi="Segoe UI" w:cs="Segoe UI"/>
          <w:sz w:val="20"/>
          <w:szCs w:val="20"/>
        </w:rPr>
        <w:t xml:space="preserve">; </w:t>
      </w:r>
      <w:hyperlink r:id="rId52" w:tgtFrame="_blank" w:history="1">
        <w:r>
          <w:rPr>
            <w:rStyle w:val="Hyperlink"/>
            <w:rFonts w:ascii="Segoe UI" w:hAnsi="Segoe UI" w:cs="Segoe UI"/>
            <w:sz w:val="20"/>
            <w:szCs w:val="20"/>
          </w:rPr>
          <w:t>https://www.ncbi.nlm.nih.gov/pmc/articles/PMC4205890/</w:t>
        </w:r>
      </w:hyperlink>
      <w:r>
        <w:rPr>
          <w:rFonts w:ascii="Segoe UI" w:hAnsi="Segoe UI" w:cs="Segoe UI"/>
          <w:sz w:val="20"/>
          <w:szCs w:val="20"/>
        </w:rPr>
        <w:t xml:space="preserve">). Strukturelle Veränderungen THZ-spezifischer Serotoninrezeptoren, ein hiermit verbundener Aktivitätsverlust durch Serotoninmangel und Anstieg pathogener TH17-Zellen als Untergruppe der THZ gelten als wesentliche entzündungsfördernde Faktoren bei der Entstehung </w:t>
      </w:r>
      <w:proofErr w:type="spellStart"/>
      <w:r>
        <w:rPr>
          <w:rFonts w:ascii="Segoe UI" w:hAnsi="Segoe UI" w:cs="Segoe UI"/>
          <w:sz w:val="20"/>
          <w:szCs w:val="20"/>
        </w:rPr>
        <w:t>muskuloskelettaler</w:t>
      </w:r>
      <w:proofErr w:type="spellEnd"/>
      <w:r>
        <w:rPr>
          <w:rFonts w:ascii="Segoe UI" w:hAnsi="Segoe UI" w:cs="Segoe UI"/>
          <w:sz w:val="20"/>
          <w:szCs w:val="20"/>
        </w:rPr>
        <w:t xml:space="preserve"> Erkrankungen (</w:t>
      </w:r>
      <w:hyperlink r:id="rId53" w:tgtFrame="_blank" w:history="1">
        <w:r>
          <w:rPr>
            <w:rStyle w:val="Hyperlink"/>
            <w:rFonts w:ascii="Segoe UI" w:hAnsi="Segoe UI" w:cs="Segoe UI"/>
            <w:color w:val="0066CC"/>
            <w:sz w:val="20"/>
            <w:szCs w:val="20"/>
          </w:rPr>
          <w:t>https://www.researchgate.net/publication/297683120_Serotonin_Is_Involved_in_Autoimmune_Arthritis_through_Th17_Immunity_and_Bone_Resorption</w:t>
        </w:r>
      </w:hyperlink>
      <w:r>
        <w:rPr>
          <w:rFonts w:ascii="Segoe UI" w:hAnsi="Segoe UI" w:cs="Segoe UI"/>
          <w:sz w:val="20"/>
          <w:szCs w:val="20"/>
        </w:rPr>
        <w:t>).</w:t>
      </w:r>
    </w:p>
    <w:p w:rsidR="00DB68A3" w:rsidRDefault="00DB68A3" w:rsidP="00DB68A3">
      <w:pPr>
        <w:pStyle w:val="StandardWeb"/>
        <w:spacing w:after="0" w:afterAutospacing="0"/>
        <w:rPr>
          <w:rFonts w:ascii="Segoe UI" w:hAnsi="Segoe UI" w:cs="Segoe UI"/>
          <w:sz w:val="18"/>
          <w:szCs w:val="18"/>
        </w:rPr>
      </w:pPr>
      <w:r>
        <w:rPr>
          <w:rFonts w:ascii="Segoe UI" w:hAnsi="Segoe UI" w:cs="Segoe UI"/>
          <w:sz w:val="20"/>
          <w:szCs w:val="20"/>
        </w:rPr>
        <w:t xml:space="preserve">5FT wird </w:t>
      </w:r>
      <w:proofErr w:type="spellStart"/>
      <w:r>
        <w:rPr>
          <w:rFonts w:ascii="Segoe UI" w:hAnsi="Segoe UI" w:cs="Segoe UI"/>
          <w:sz w:val="20"/>
          <w:szCs w:val="20"/>
        </w:rPr>
        <w:t>intramitochondrial</w:t>
      </w:r>
      <w:proofErr w:type="spellEnd"/>
      <w:r>
        <w:rPr>
          <w:rFonts w:ascii="Segoe UI" w:hAnsi="Segoe UI" w:cs="Segoe UI"/>
          <w:sz w:val="20"/>
          <w:szCs w:val="20"/>
        </w:rPr>
        <w:t xml:space="preserve"> zu extrem giftiger Fluoressigsäure abgebaut (etwa </w:t>
      </w:r>
      <w:proofErr w:type="gramStart"/>
      <w:r>
        <w:rPr>
          <w:rFonts w:ascii="Segoe UI" w:hAnsi="Segoe UI" w:cs="Segoe UI"/>
          <w:sz w:val="20"/>
          <w:szCs w:val="20"/>
        </w:rPr>
        <w:t>9.5 mal</w:t>
      </w:r>
      <w:proofErr w:type="gramEnd"/>
      <w:r>
        <w:rPr>
          <w:rFonts w:ascii="Segoe UI" w:hAnsi="Segoe UI" w:cs="Segoe UI"/>
          <w:sz w:val="20"/>
          <w:szCs w:val="20"/>
        </w:rPr>
        <w:t xml:space="preserve"> giftiger als Fluorid). Dort blockiert sie (als Fluorcitrat) den </w:t>
      </w:r>
      <w:proofErr w:type="spellStart"/>
      <w:r>
        <w:rPr>
          <w:rFonts w:ascii="Segoe UI" w:hAnsi="Segoe UI" w:cs="Segoe UI"/>
          <w:sz w:val="20"/>
          <w:szCs w:val="20"/>
        </w:rPr>
        <w:t>Citrazyklus</w:t>
      </w:r>
      <w:proofErr w:type="spellEnd"/>
      <w:r>
        <w:rPr>
          <w:rFonts w:ascii="Segoe UI" w:hAnsi="Segoe UI" w:cs="Segoe UI"/>
          <w:sz w:val="20"/>
          <w:szCs w:val="20"/>
        </w:rPr>
        <w:t xml:space="preserve">, indem sie die Enzyme </w:t>
      </w:r>
      <w:proofErr w:type="spellStart"/>
      <w:r>
        <w:rPr>
          <w:rFonts w:ascii="Segoe UI" w:hAnsi="Segoe UI" w:cs="Segoe UI"/>
          <w:sz w:val="20"/>
          <w:szCs w:val="20"/>
        </w:rPr>
        <w:t>Aconitase</w:t>
      </w:r>
      <w:proofErr w:type="spellEnd"/>
      <w:r>
        <w:rPr>
          <w:rFonts w:ascii="Segoe UI" w:hAnsi="Segoe UI" w:cs="Segoe UI"/>
          <w:sz w:val="20"/>
          <w:szCs w:val="20"/>
        </w:rPr>
        <w:t xml:space="preserve"> und </w:t>
      </w:r>
      <w:proofErr w:type="spellStart"/>
      <w:r>
        <w:rPr>
          <w:rFonts w:ascii="Segoe UI" w:hAnsi="Segoe UI" w:cs="Segoe UI"/>
          <w:sz w:val="20"/>
          <w:szCs w:val="20"/>
        </w:rPr>
        <w:t>Glutathion-Thioesterase</w:t>
      </w:r>
      <w:proofErr w:type="spellEnd"/>
      <w:r>
        <w:rPr>
          <w:rFonts w:ascii="Segoe UI" w:hAnsi="Segoe UI" w:cs="Segoe UI"/>
          <w:sz w:val="20"/>
          <w:szCs w:val="20"/>
        </w:rPr>
        <w:t xml:space="preserve"> irreversibel hemmt. Daraus resultiert eine Entgleisung des </w:t>
      </w:r>
      <w:proofErr w:type="spellStart"/>
      <w:r>
        <w:rPr>
          <w:rFonts w:ascii="Segoe UI" w:hAnsi="Segoe UI" w:cs="Segoe UI"/>
          <w:sz w:val="20"/>
          <w:szCs w:val="20"/>
        </w:rPr>
        <w:t>mitochondrialen</w:t>
      </w:r>
      <w:proofErr w:type="spellEnd"/>
      <w:r>
        <w:rPr>
          <w:rFonts w:ascii="Segoe UI" w:hAnsi="Segoe UI" w:cs="Segoe UI"/>
          <w:sz w:val="20"/>
          <w:szCs w:val="20"/>
        </w:rPr>
        <w:t xml:space="preserve"> Stoffwechsels mit verheerenden Folgewirkungen (u. a. reduzierte </w:t>
      </w:r>
      <w:proofErr w:type="spellStart"/>
      <w:r>
        <w:rPr>
          <w:rFonts w:ascii="Segoe UI" w:hAnsi="Segoe UI" w:cs="Segoe UI"/>
          <w:sz w:val="20"/>
          <w:szCs w:val="20"/>
        </w:rPr>
        <w:t>Glutathionspiegel</w:t>
      </w:r>
      <w:proofErr w:type="spellEnd"/>
      <w:r>
        <w:rPr>
          <w:rFonts w:ascii="Segoe UI" w:hAnsi="Segoe UI" w:cs="Segoe UI"/>
          <w:sz w:val="20"/>
          <w:szCs w:val="20"/>
        </w:rPr>
        <w:t xml:space="preserve">, erhöhte ROS-Bildung bei zunehmender Einschränkung der Atmungskette, Störungen des Glutamat-, GABA- und </w:t>
      </w:r>
      <w:proofErr w:type="spellStart"/>
      <w:r>
        <w:rPr>
          <w:rFonts w:ascii="Segoe UI" w:hAnsi="Segoe UI" w:cs="Segoe UI"/>
          <w:sz w:val="20"/>
          <w:szCs w:val="20"/>
        </w:rPr>
        <w:t>Prolinstoffwechsels</w:t>
      </w:r>
      <w:proofErr w:type="spellEnd"/>
      <w:r>
        <w:rPr>
          <w:rFonts w:ascii="Segoe UI" w:hAnsi="Segoe UI" w:cs="Segoe UI"/>
          <w:sz w:val="20"/>
          <w:szCs w:val="20"/>
        </w:rPr>
        <w:t xml:space="preserve">, der Fettsäureoxidation, der </w:t>
      </w:r>
      <w:proofErr w:type="spellStart"/>
      <w:r>
        <w:rPr>
          <w:rFonts w:ascii="Segoe UI" w:hAnsi="Segoe UI" w:cs="Segoe UI"/>
          <w:sz w:val="20"/>
          <w:szCs w:val="20"/>
        </w:rPr>
        <w:t>Gluconeogenese</w:t>
      </w:r>
      <w:proofErr w:type="spellEnd"/>
      <w:r>
        <w:rPr>
          <w:rFonts w:ascii="Segoe UI" w:hAnsi="Segoe UI" w:cs="Segoe UI"/>
          <w:sz w:val="20"/>
          <w:szCs w:val="20"/>
        </w:rPr>
        <w:t xml:space="preserve">, der Cholesterinsynthese und </w:t>
      </w:r>
      <w:proofErr w:type="spellStart"/>
      <w:r>
        <w:rPr>
          <w:rFonts w:ascii="Segoe UI" w:hAnsi="Segoe UI" w:cs="Segoe UI"/>
          <w:sz w:val="20"/>
          <w:szCs w:val="20"/>
        </w:rPr>
        <w:t>Lipogenese</w:t>
      </w:r>
      <w:proofErr w:type="spellEnd"/>
      <w:r>
        <w:rPr>
          <w:rFonts w:ascii="Segoe UI" w:hAnsi="Segoe UI" w:cs="Segoe UI"/>
          <w:sz w:val="20"/>
          <w:szCs w:val="20"/>
        </w:rPr>
        <w:t xml:space="preserve">, Membranschäden, verminderte ATP-Synthese, intra- und </w:t>
      </w:r>
      <w:proofErr w:type="spellStart"/>
      <w:r>
        <w:rPr>
          <w:rFonts w:ascii="Segoe UI" w:hAnsi="Segoe UI" w:cs="Segoe UI"/>
          <w:sz w:val="20"/>
          <w:szCs w:val="20"/>
        </w:rPr>
        <w:t>extramitochondriale</w:t>
      </w:r>
      <w:proofErr w:type="spellEnd"/>
      <w:r>
        <w:rPr>
          <w:rFonts w:ascii="Segoe UI" w:hAnsi="Segoe UI" w:cs="Segoe UI"/>
          <w:sz w:val="20"/>
          <w:szCs w:val="20"/>
        </w:rPr>
        <w:t xml:space="preserve"> </w:t>
      </w:r>
      <w:proofErr w:type="spellStart"/>
      <w:r>
        <w:rPr>
          <w:rFonts w:ascii="Segoe UI" w:hAnsi="Segoe UI" w:cs="Segoe UI"/>
          <w:sz w:val="20"/>
          <w:szCs w:val="20"/>
        </w:rPr>
        <w:t>Kalzifizierungen</w:t>
      </w:r>
      <w:proofErr w:type="spellEnd"/>
      <w:r>
        <w:rPr>
          <w:rFonts w:ascii="Segoe UI" w:hAnsi="Segoe UI" w:cs="Segoe UI"/>
          <w:sz w:val="20"/>
          <w:szCs w:val="20"/>
        </w:rPr>
        <w:t>, Mutationen, Zellalterung).</w:t>
      </w:r>
    </w:p>
    <w:p w:rsidR="00DB68A3" w:rsidRDefault="00DB68A3" w:rsidP="00DB68A3">
      <w:pPr>
        <w:pStyle w:val="StandardWeb"/>
        <w:spacing w:after="0" w:afterAutospacing="0"/>
        <w:rPr>
          <w:rFonts w:ascii="Segoe UI" w:hAnsi="Segoe UI" w:cs="Segoe UI"/>
          <w:sz w:val="18"/>
          <w:szCs w:val="18"/>
        </w:rPr>
      </w:pPr>
      <w:r>
        <w:rPr>
          <w:rFonts w:ascii="Segoe UI" w:hAnsi="Segoe UI" w:cs="Segoe UI"/>
          <w:noProof/>
          <w:sz w:val="18"/>
          <w:szCs w:val="18"/>
        </w:rPr>
        <w:drawing>
          <wp:inline distT="0" distB="0" distL="0" distR="0">
            <wp:extent cx="5645426" cy="2720443"/>
            <wp:effectExtent l="0" t="0" r="0" b="3810"/>
            <wp:docPr id="9" name="Grafik 9" descr="Inlin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Bild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5182" cy="2720326"/>
                    </a:xfrm>
                    <a:prstGeom prst="rect">
                      <a:avLst/>
                    </a:prstGeom>
                    <a:noFill/>
                    <a:ln>
                      <a:noFill/>
                    </a:ln>
                  </pic:spPr>
                </pic:pic>
              </a:graphicData>
            </a:graphic>
          </wp:inline>
        </w:drawing>
      </w:r>
    </w:p>
    <w:p w:rsidR="00DB68A3" w:rsidRDefault="00DB68A3" w:rsidP="00DB68A3">
      <w:pPr>
        <w:pStyle w:val="StandardWeb"/>
        <w:spacing w:after="0" w:afterAutospacing="0"/>
        <w:rPr>
          <w:rFonts w:ascii="Verdana" w:hAnsi="Verdana"/>
          <w:sz w:val="18"/>
          <w:szCs w:val="18"/>
        </w:rPr>
      </w:pPr>
    </w:p>
    <w:p w:rsidR="00DB68A3" w:rsidRDefault="00DB68A3" w:rsidP="00DB68A3">
      <w:pPr>
        <w:pStyle w:val="StandardWeb"/>
        <w:rPr>
          <w:rFonts w:ascii="Verdana" w:hAnsi="Verdana"/>
          <w:sz w:val="18"/>
          <w:szCs w:val="18"/>
        </w:rPr>
      </w:pPr>
      <w:r>
        <w:rPr>
          <w:rFonts w:ascii="Segoe UI" w:hAnsi="Segoe UI" w:cs="Segoe UI"/>
          <w:sz w:val="20"/>
          <w:szCs w:val="20"/>
        </w:rPr>
        <w:t xml:space="preserve">Obwohl schon seit geraumer Zeit evidenzbasierte Hinweise auf eine deutliche Beeinflussung des bakteriellen </w:t>
      </w:r>
      <w:proofErr w:type="spellStart"/>
      <w:r>
        <w:rPr>
          <w:rFonts w:ascii="Segoe UI" w:hAnsi="Segoe UI" w:cs="Segoe UI"/>
          <w:sz w:val="20"/>
          <w:szCs w:val="20"/>
        </w:rPr>
        <w:t>Citratzyklus</w:t>
      </w:r>
      <w:proofErr w:type="spellEnd"/>
      <w:r>
        <w:rPr>
          <w:rFonts w:ascii="Segoe UI" w:hAnsi="Segoe UI" w:cs="Segoe UI"/>
          <w:sz w:val="20"/>
          <w:szCs w:val="20"/>
        </w:rPr>
        <w:t xml:space="preserve"> durch </w:t>
      </w:r>
      <w:proofErr w:type="spellStart"/>
      <w:r>
        <w:rPr>
          <w:rFonts w:ascii="Segoe UI" w:hAnsi="Segoe UI" w:cs="Segoe UI"/>
          <w:sz w:val="20"/>
          <w:szCs w:val="20"/>
        </w:rPr>
        <w:t>Fluorchinolone</w:t>
      </w:r>
      <w:proofErr w:type="spellEnd"/>
      <w:r>
        <w:rPr>
          <w:rFonts w:ascii="Segoe UI" w:hAnsi="Segoe UI" w:cs="Segoe UI"/>
          <w:sz w:val="20"/>
          <w:szCs w:val="20"/>
        </w:rPr>
        <w:t xml:space="preserve"> kursieren (</w:t>
      </w:r>
      <w:hyperlink r:id="rId55" w:tgtFrame="_blank" w:history="1">
        <w:r>
          <w:rPr>
            <w:rStyle w:val="Hyperlink"/>
            <w:rFonts w:ascii="Segoe UI" w:hAnsi="Segoe UI" w:cs="Segoe UI"/>
            <w:color w:val="0066CC"/>
            <w:sz w:val="20"/>
            <w:szCs w:val="20"/>
          </w:rPr>
          <w:t>https://core.ac.uk/download/pdf/22862305.pdf?repositoryId=145</w:t>
        </w:r>
      </w:hyperlink>
      <w:r>
        <w:rPr>
          <w:rFonts w:ascii="Segoe UI" w:hAnsi="Segoe UI" w:cs="Segoe UI"/>
          <w:sz w:val="20"/>
          <w:szCs w:val="20"/>
        </w:rPr>
        <w:t xml:space="preserve">; </w:t>
      </w:r>
      <w:hyperlink r:id="rId56" w:tgtFrame="_blank" w:history="1">
        <w:r>
          <w:rPr>
            <w:rStyle w:val="Hyperlink"/>
            <w:rFonts w:ascii="Segoe UI" w:hAnsi="Segoe UI" w:cs="Segoe UI"/>
            <w:color w:val="0066CC"/>
            <w:sz w:val="20"/>
            <w:szCs w:val="20"/>
          </w:rPr>
          <w:t>https://www.ncbi.nlm.nih.gov/pmc/articles/PMC1797410/</w:t>
        </w:r>
      </w:hyperlink>
      <w:r>
        <w:rPr>
          <w:rFonts w:ascii="Segoe UI" w:hAnsi="Segoe UI" w:cs="Segoe UI"/>
          <w:sz w:val="20"/>
          <w:szCs w:val="20"/>
        </w:rPr>
        <w:t xml:space="preserve">; </w:t>
      </w:r>
      <w:hyperlink r:id="rId57" w:tgtFrame="_blank" w:history="1">
        <w:r>
          <w:rPr>
            <w:rStyle w:val="Hyperlink"/>
            <w:rFonts w:ascii="Segoe UI" w:hAnsi="Segoe UI" w:cs="Segoe UI"/>
            <w:color w:val="0066CC"/>
            <w:sz w:val="20"/>
            <w:szCs w:val="20"/>
          </w:rPr>
          <w:t>http://aac.asm.org/content/58/12/7151.full</w:t>
        </w:r>
      </w:hyperlink>
      <w:r>
        <w:rPr>
          <w:rFonts w:ascii="Segoe UI" w:hAnsi="Segoe UI" w:cs="Segoe UI"/>
          <w:sz w:val="20"/>
          <w:szCs w:val="20"/>
        </w:rPr>
        <w:t>), wurden selbige bei toxikologischen Untersuchungen mit Eukaryoten bislang nicht berücksichtigt.</w:t>
      </w:r>
    </w:p>
    <w:p w:rsidR="00DB68A3" w:rsidRDefault="00DB68A3" w:rsidP="00DB68A3">
      <w:pPr>
        <w:pStyle w:val="StandardWeb"/>
        <w:spacing w:after="0" w:afterAutospacing="0"/>
        <w:rPr>
          <w:rFonts w:ascii="Verdana" w:hAnsi="Verdana"/>
          <w:sz w:val="18"/>
          <w:szCs w:val="18"/>
        </w:rPr>
      </w:pPr>
      <w:r>
        <w:rPr>
          <w:rFonts w:ascii="Segoe UI" w:hAnsi="Segoe UI" w:cs="Segoe UI"/>
          <w:sz w:val="20"/>
          <w:szCs w:val="20"/>
        </w:rPr>
        <w:t xml:space="preserve">Allerdings liegt der beobachteten Reduktion der </w:t>
      </w:r>
      <w:proofErr w:type="spellStart"/>
      <w:r>
        <w:rPr>
          <w:rFonts w:ascii="Segoe UI" w:hAnsi="Segoe UI" w:cs="Segoe UI"/>
          <w:sz w:val="20"/>
          <w:szCs w:val="20"/>
        </w:rPr>
        <w:t>mtDNA</w:t>
      </w:r>
      <w:proofErr w:type="spellEnd"/>
      <w:r>
        <w:rPr>
          <w:rFonts w:ascii="Segoe UI" w:hAnsi="Segoe UI" w:cs="Segoe UI"/>
          <w:sz w:val="20"/>
          <w:szCs w:val="20"/>
        </w:rPr>
        <w:t xml:space="preserve"> von THZ ein Klasseneffekt der </w:t>
      </w:r>
      <w:proofErr w:type="spellStart"/>
      <w:r>
        <w:rPr>
          <w:rFonts w:ascii="Segoe UI" w:hAnsi="Segoe UI" w:cs="Segoe UI"/>
          <w:sz w:val="20"/>
          <w:szCs w:val="20"/>
        </w:rPr>
        <w:t>Fluorchinolone</w:t>
      </w:r>
      <w:proofErr w:type="spellEnd"/>
      <w:r>
        <w:rPr>
          <w:rFonts w:ascii="Segoe UI" w:hAnsi="Segoe UI" w:cs="Segoe UI"/>
          <w:sz w:val="20"/>
          <w:szCs w:val="20"/>
        </w:rPr>
        <w:t xml:space="preserve"> zugrunde (</w:t>
      </w:r>
      <w:hyperlink r:id="rId58" w:tgtFrame="_blank" w:history="1">
        <w:r>
          <w:rPr>
            <w:rStyle w:val="Hyperlink"/>
            <w:rFonts w:ascii="Segoe UI" w:hAnsi="Segoe UI" w:cs="Segoe UI"/>
            <w:color w:val="0066CC"/>
            <w:sz w:val="20"/>
            <w:szCs w:val="20"/>
          </w:rPr>
          <w:t>http://journals.sagepub.com/doi/pdf/10.1177/1087057110373547</w:t>
        </w:r>
      </w:hyperlink>
      <w:r>
        <w:rPr>
          <w:rFonts w:ascii="Segoe UI" w:hAnsi="Segoe UI" w:cs="Segoe UI"/>
          <w:sz w:val="20"/>
          <w:szCs w:val="20"/>
        </w:rPr>
        <w:t xml:space="preserve">; </w:t>
      </w:r>
      <w:hyperlink r:id="rId59" w:tgtFrame="_blank" w:history="1">
        <w:r>
          <w:rPr>
            <w:rStyle w:val="Hyperlink"/>
            <w:rFonts w:ascii="Segoe UI" w:hAnsi="Segoe UI" w:cs="Segoe UI"/>
            <w:color w:val="0066CC"/>
            <w:sz w:val="20"/>
            <w:szCs w:val="20"/>
          </w:rPr>
          <w:t>https://www.ncbi.nlm.nih.gov/pmc/articles/PMC1472211/</w:t>
        </w:r>
      </w:hyperlink>
      <w:r>
        <w:rPr>
          <w:rFonts w:ascii="Segoe UI" w:hAnsi="Segoe UI" w:cs="Segoe UI"/>
          <w:sz w:val="20"/>
          <w:szCs w:val="20"/>
        </w:rPr>
        <w:t xml:space="preserve">; </w:t>
      </w:r>
      <w:hyperlink r:id="rId60" w:tgtFrame="_blank" w:history="1">
        <w:r>
          <w:rPr>
            <w:rStyle w:val="Hyperlink"/>
            <w:rFonts w:ascii="Segoe UI" w:hAnsi="Segoe UI" w:cs="Segoe UI"/>
            <w:color w:val="0066CC"/>
            <w:sz w:val="20"/>
            <w:szCs w:val="20"/>
          </w:rPr>
          <w:t>https://www.ncbi.nlm.nih.gov/pubmed/8913349</w:t>
        </w:r>
      </w:hyperlink>
      <w:r>
        <w:rPr>
          <w:rFonts w:ascii="Segoe UI" w:hAnsi="Segoe UI" w:cs="Segoe UI"/>
          <w:sz w:val="20"/>
          <w:szCs w:val="20"/>
        </w:rPr>
        <w:t xml:space="preserve">). Im direkten Vergleich mit nicht-fluorierten </w:t>
      </w:r>
      <w:r>
        <w:rPr>
          <w:rFonts w:ascii="Segoe UI" w:hAnsi="Segoe UI" w:cs="Segoe UI"/>
          <w:sz w:val="20"/>
          <w:szCs w:val="20"/>
        </w:rPr>
        <w:lastRenderedPageBreak/>
        <w:t xml:space="preserve">antibiotischen Substanzen ist das </w:t>
      </w:r>
      <w:proofErr w:type="spellStart"/>
      <w:r>
        <w:rPr>
          <w:rFonts w:ascii="Segoe UI" w:hAnsi="Segoe UI" w:cs="Segoe UI"/>
          <w:sz w:val="20"/>
          <w:szCs w:val="20"/>
        </w:rPr>
        <w:t>mitochondrio</w:t>
      </w:r>
      <w:proofErr w:type="spellEnd"/>
      <w:r>
        <w:rPr>
          <w:rFonts w:ascii="Segoe UI" w:hAnsi="Segoe UI" w:cs="Segoe UI"/>
          <w:sz w:val="20"/>
          <w:szCs w:val="20"/>
        </w:rPr>
        <w:t xml:space="preserve">- und </w:t>
      </w:r>
      <w:proofErr w:type="spellStart"/>
      <w:r>
        <w:rPr>
          <w:rFonts w:ascii="Segoe UI" w:hAnsi="Segoe UI" w:cs="Segoe UI"/>
          <w:sz w:val="20"/>
          <w:szCs w:val="20"/>
        </w:rPr>
        <w:t>genotoxische</w:t>
      </w:r>
      <w:proofErr w:type="spellEnd"/>
      <w:r>
        <w:rPr>
          <w:rFonts w:ascii="Segoe UI" w:hAnsi="Segoe UI" w:cs="Segoe UI"/>
          <w:sz w:val="20"/>
          <w:szCs w:val="20"/>
        </w:rPr>
        <w:t xml:space="preserve"> Potential der </w:t>
      </w:r>
      <w:proofErr w:type="spellStart"/>
      <w:r>
        <w:rPr>
          <w:rFonts w:ascii="Segoe UI" w:hAnsi="Segoe UI" w:cs="Segoe UI"/>
          <w:sz w:val="20"/>
          <w:szCs w:val="20"/>
        </w:rPr>
        <w:t>Fluorchinolone</w:t>
      </w:r>
      <w:proofErr w:type="spellEnd"/>
      <w:r>
        <w:rPr>
          <w:rFonts w:ascii="Segoe UI" w:hAnsi="Segoe UI" w:cs="Segoe UI"/>
          <w:sz w:val="20"/>
          <w:szCs w:val="20"/>
        </w:rPr>
        <w:t xml:space="preserve"> wohlgemerkt signifikant erhöht (</w:t>
      </w:r>
      <w:hyperlink r:id="rId61" w:tgtFrame="_blank" w:history="1">
        <w:r>
          <w:rPr>
            <w:rStyle w:val="Hyperlink"/>
            <w:rFonts w:ascii="Segoe UI" w:hAnsi="Segoe UI" w:cs="Segoe UI"/>
            <w:color w:val="0066CC"/>
            <w:sz w:val="20"/>
            <w:szCs w:val="20"/>
          </w:rPr>
          <w:t>https://www.ncbi.nlm.nih.gov/pmc/articles/PMC3760005/</w:t>
        </w:r>
      </w:hyperlink>
      <w:r>
        <w:rPr>
          <w:rFonts w:ascii="Segoe UI" w:hAnsi="Segoe UI" w:cs="Segoe UI"/>
          <w:sz w:val="20"/>
          <w:szCs w:val="20"/>
        </w:rPr>
        <w:t xml:space="preserve">; </w:t>
      </w:r>
      <w:hyperlink r:id="rId62" w:tgtFrame="_blank" w:history="1">
        <w:r>
          <w:rPr>
            <w:rStyle w:val="Hyperlink"/>
            <w:rFonts w:ascii="Segoe UI" w:hAnsi="Segoe UI" w:cs="Segoe UI"/>
            <w:color w:val="0066CC"/>
            <w:sz w:val="20"/>
            <w:szCs w:val="20"/>
          </w:rPr>
          <w:t>https://www.ncbi.nlm.nih.gov/pubmed/21559652</w:t>
        </w:r>
      </w:hyperlink>
      <w:r>
        <w:rPr>
          <w:rFonts w:ascii="Segoe UI" w:hAnsi="Segoe UI" w:cs="Segoe UI"/>
          <w:sz w:val="20"/>
          <w:szCs w:val="20"/>
        </w:rPr>
        <w:t xml:space="preserve"> </w:t>
      </w:r>
      <w:hyperlink r:id="rId63" w:tgtFrame="_blank" w:history="1">
        <w:r>
          <w:rPr>
            <w:rStyle w:val="Hyperlink"/>
            <w:rFonts w:ascii="Segoe UI" w:hAnsi="Segoe UI" w:cs="Segoe UI"/>
            <w:color w:val="0066CC"/>
            <w:sz w:val="20"/>
            <w:szCs w:val="20"/>
          </w:rPr>
          <w:t>http://link.springer.com/article/10.1007/BF02814622</w:t>
        </w:r>
      </w:hyperlink>
      <w:r>
        <w:rPr>
          <w:rFonts w:ascii="Segoe UI" w:hAnsi="Segoe UI" w:cs="Segoe UI"/>
          <w:sz w:val="20"/>
          <w:szCs w:val="20"/>
        </w:rPr>
        <w:t>).</w:t>
      </w:r>
    </w:p>
    <w:p w:rsidR="00DB68A3" w:rsidRDefault="00DB68A3" w:rsidP="00DB68A3">
      <w:pPr>
        <w:pStyle w:val="StandardWeb"/>
        <w:spacing w:after="0" w:afterAutospacing="0"/>
        <w:rPr>
          <w:rFonts w:ascii="Segoe UI" w:hAnsi="Segoe UI" w:cs="Segoe UI"/>
          <w:sz w:val="18"/>
          <w:szCs w:val="18"/>
        </w:rPr>
      </w:pPr>
      <w:r>
        <w:rPr>
          <w:rFonts w:ascii="Segoe UI" w:hAnsi="Segoe UI" w:cs="Segoe UI"/>
          <w:sz w:val="20"/>
          <w:szCs w:val="20"/>
        </w:rPr>
        <w:t xml:space="preserve">Nach jüngeren Erkenntnissen scheinen spezifische Enzyme des </w:t>
      </w:r>
      <w:proofErr w:type="spellStart"/>
      <w:r>
        <w:rPr>
          <w:rFonts w:ascii="Segoe UI" w:hAnsi="Segoe UI" w:cs="Segoe UI"/>
          <w:sz w:val="20"/>
          <w:szCs w:val="20"/>
        </w:rPr>
        <w:t>Citratzyklus</w:t>
      </w:r>
      <w:proofErr w:type="spellEnd"/>
      <w:r>
        <w:rPr>
          <w:rFonts w:ascii="Segoe UI" w:hAnsi="Segoe UI" w:cs="Segoe UI"/>
          <w:sz w:val="20"/>
          <w:szCs w:val="20"/>
        </w:rPr>
        <w:t xml:space="preserve"> an der Regulation der </w:t>
      </w:r>
      <w:proofErr w:type="spellStart"/>
      <w:r>
        <w:rPr>
          <w:rFonts w:ascii="Segoe UI" w:hAnsi="Segoe UI" w:cs="Segoe UI"/>
          <w:sz w:val="20"/>
          <w:szCs w:val="20"/>
        </w:rPr>
        <w:t>mtDNA</w:t>
      </w:r>
      <w:proofErr w:type="spellEnd"/>
      <w:r>
        <w:rPr>
          <w:rFonts w:ascii="Segoe UI" w:hAnsi="Segoe UI" w:cs="Segoe UI"/>
          <w:sz w:val="20"/>
          <w:szCs w:val="20"/>
        </w:rPr>
        <w:t xml:space="preserve"> beteiligt zu sein. Schädigungen oder Mutationen dieser Enzyme sind mit einer Abnahme der </w:t>
      </w:r>
      <w:proofErr w:type="spellStart"/>
      <w:r>
        <w:rPr>
          <w:rFonts w:ascii="Segoe UI" w:hAnsi="Segoe UI" w:cs="Segoe UI"/>
          <w:sz w:val="20"/>
          <w:szCs w:val="20"/>
        </w:rPr>
        <w:t>mitochondrialen</w:t>
      </w:r>
      <w:proofErr w:type="spellEnd"/>
      <w:r>
        <w:rPr>
          <w:rFonts w:ascii="Segoe UI" w:hAnsi="Segoe UI" w:cs="Segoe UI"/>
          <w:sz w:val="20"/>
          <w:szCs w:val="20"/>
        </w:rPr>
        <w:t xml:space="preserve"> RNA und DNA assoziiert (</w:t>
      </w:r>
      <w:hyperlink r:id="rId64" w:tgtFrame="_blank" w:history="1">
        <w:r>
          <w:rPr>
            <w:rStyle w:val="Hyperlink"/>
            <w:rFonts w:ascii="Segoe UI" w:hAnsi="Segoe UI" w:cs="Segoe UI"/>
            <w:color w:val="0066CC"/>
            <w:sz w:val="20"/>
            <w:szCs w:val="20"/>
          </w:rPr>
          <w:t>https://www.ncbi.nlm.nih.gov/pmc/articles/PMC151572/</w:t>
        </w:r>
      </w:hyperlink>
      <w:r>
        <w:rPr>
          <w:rFonts w:ascii="Segoe UI" w:hAnsi="Segoe UI" w:cs="Segoe UI"/>
          <w:sz w:val="20"/>
          <w:szCs w:val="20"/>
        </w:rPr>
        <w:t>) (</w:t>
      </w:r>
      <w:hyperlink r:id="rId65" w:tgtFrame="_blank" w:history="1">
        <w:r>
          <w:rPr>
            <w:rStyle w:val="Hyperlink"/>
            <w:rFonts w:ascii="Segoe UI" w:hAnsi="Segoe UI" w:cs="Segoe UI"/>
            <w:color w:val="0066CC"/>
            <w:sz w:val="20"/>
            <w:szCs w:val="20"/>
          </w:rPr>
          <w:t>http://brain.oxfordjournals.org/content/brain/130/3/606.full.pdf</w:t>
        </w:r>
      </w:hyperlink>
      <w:r>
        <w:rPr>
          <w:rFonts w:ascii="Segoe UI" w:hAnsi="Segoe UI" w:cs="Segoe UI"/>
          <w:sz w:val="20"/>
          <w:szCs w:val="20"/>
        </w:rPr>
        <w:t xml:space="preserve">; </w:t>
      </w:r>
      <w:hyperlink r:id="rId66" w:tgtFrame="_blank" w:history="1">
        <w:r>
          <w:rPr>
            <w:rStyle w:val="Hyperlink"/>
            <w:rFonts w:ascii="Segoe UI" w:hAnsi="Segoe UI" w:cs="Segoe UI"/>
            <w:color w:val="0066CC"/>
            <w:sz w:val="20"/>
            <w:szCs w:val="20"/>
          </w:rPr>
          <w:t>http://www.diss.fu-berlin.de/diss/receive/FUDISS_thesis_000000100079</w:t>
        </w:r>
      </w:hyperlink>
      <w:r>
        <w:rPr>
          <w:rFonts w:ascii="Segoe UI" w:hAnsi="Segoe UI" w:cs="Segoe UI"/>
          <w:sz w:val="20"/>
          <w:szCs w:val="20"/>
        </w:rPr>
        <w:t>).</w:t>
      </w:r>
    </w:p>
    <w:p w:rsidR="00DB68A3" w:rsidRDefault="00DB68A3" w:rsidP="00DB68A3">
      <w:pPr>
        <w:pStyle w:val="StandardWeb"/>
        <w:spacing w:after="0" w:afterAutospacing="0"/>
        <w:rPr>
          <w:rFonts w:ascii="Segoe UI" w:hAnsi="Segoe UI" w:cs="Segoe UI"/>
          <w:sz w:val="18"/>
          <w:szCs w:val="18"/>
        </w:rPr>
      </w:pPr>
      <w:r>
        <w:rPr>
          <w:rFonts w:ascii="Segoe UI" w:hAnsi="Segoe UI" w:cs="Segoe UI"/>
          <w:sz w:val="20"/>
          <w:szCs w:val="20"/>
        </w:rPr>
        <w:t xml:space="preserve">Die Aufrechterhaltung der </w:t>
      </w:r>
      <w:proofErr w:type="spellStart"/>
      <w:r>
        <w:rPr>
          <w:rFonts w:ascii="Segoe UI" w:hAnsi="Segoe UI" w:cs="Segoe UI"/>
          <w:sz w:val="20"/>
          <w:szCs w:val="20"/>
        </w:rPr>
        <w:t>mtDNA</w:t>
      </w:r>
      <w:proofErr w:type="spellEnd"/>
      <w:r>
        <w:rPr>
          <w:rFonts w:ascii="Segoe UI" w:hAnsi="Segoe UI" w:cs="Segoe UI"/>
          <w:sz w:val="20"/>
          <w:szCs w:val="20"/>
        </w:rPr>
        <w:t xml:space="preserve"> ist offenbar insbesondere mit der </w:t>
      </w:r>
      <w:proofErr w:type="spellStart"/>
      <w:r>
        <w:rPr>
          <w:rFonts w:ascii="Segoe UI" w:hAnsi="Segoe UI" w:cs="Segoe UI"/>
          <w:sz w:val="20"/>
          <w:szCs w:val="20"/>
        </w:rPr>
        <w:t>Aconitase</w:t>
      </w:r>
      <w:proofErr w:type="spellEnd"/>
      <w:r>
        <w:rPr>
          <w:rFonts w:ascii="Segoe UI" w:hAnsi="Segoe UI" w:cs="Segoe UI"/>
          <w:sz w:val="20"/>
          <w:szCs w:val="20"/>
        </w:rPr>
        <w:t xml:space="preserve">-Aktivität verknüpft. Nach bisherigen Erkenntnissen kann die </w:t>
      </w:r>
      <w:proofErr w:type="spellStart"/>
      <w:r>
        <w:rPr>
          <w:rFonts w:ascii="Segoe UI" w:hAnsi="Segoe UI" w:cs="Segoe UI"/>
          <w:sz w:val="20"/>
          <w:szCs w:val="20"/>
        </w:rPr>
        <w:t>Aconitase</w:t>
      </w:r>
      <w:proofErr w:type="spellEnd"/>
      <w:r>
        <w:rPr>
          <w:rFonts w:ascii="Segoe UI" w:hAnsi="Segoe UI" w:cs="Segoe UI"/>
          <w:sz w:val="20"/>
          <w:szCs w:val="20"/>
        </w:rPr>
        <w:t xml:space="preserve"> bei Störungen des </w:t>
      </w:r>
      <w:proofErr w:type="spellStart"/>
      <w:r>
        <w:rPr>
          <w:rFonts w:ascii="Segoe UI" w:hAnsi="Segoe UI" w:cs="Segoe UI"/>
          <w:sz w:val="20"/>
          <w:szCs w:val="20"/>
        </w:rPr>
        <w:t>Citratzyklus</w:t>
      </w:r>
      <w:proofErr w:type="spellEnd"/>
      <w:r>
        <w:rPr>
          <w:rFonts w:ascii="Segoe UI" w:hAnsi="Segoe UI" w:cs="Segoe UI"/>
          <w:sz w:val="20"/>
          <w:szCs w:val="20"/>
        </w:rPr>
        <w:t xml:space="preserve"> in die </w:t>
      </w:r>
      <w:proofErr w:type="spellStart"/>
      <w:r>
        <w:rPr>
          <w:rFonts w:ascii="Segoe UI" w:hAnsi="Segoe UI" w:cs="Segoe UI"/>
          <w:sz w:val="20"/>
          <w:szCs w:val="20"/>
        </w:rPr>
        <w:t>mtDNA</w:t>
      </w:r>
      <w:proofErr w:type="spellEnd"/>
      <w:r>
        <w:rPr>
          <w:rFonts w:ascii="Segoe UI" w:hAnsi="Segoe UI" w:cs="Segoe UI"/>
          <w:sz w:val="20"/>
          <w:szCs w:val="20"/>
        </w:rPr>
        <w:t xml:space="preserve"> eingebaut werden, selbige stabilisieren und dadurch eine Anpassung der </w:t>
      </w:r>
      <w:proofErr w:type="spellStart"/>
      <w:r>
        <w:rPr>
          <w:rFonts w:ascii="Segoe UI" w:hAnsi="Segoe UI" w:cs="Segoe UI"/>
          <w:sz w:val="20"/>
          <w:szCs w:val="20"/>
        </w:rPr>
        <w:t>mitochondrialen</w:t>
      </w:r>
      <w:proofErr w:type="spellEnd"/>
      <w:r>
        <w:rPr>
          <w:rFonts w:ascii="Segoe UI" w:hAnsi="Segoe UI" w:cs="Segoe UI"/>
          <w:sz w:val="20"/>
          <w:szCs w:val="20"/>
        </w:rPr>
        <w:t xml:space="preserve"> Genexpression an die veränderte Stoffwechsellage ermöglichen (</w:t>
      </w:r>
      <w:hyperlink r:id="rId67" w:tgtFrame="_blank" w:history="1">
        <w:r>
          <w:rPr>
            <w:rStyle w:val="Hyperlink"/>
            <w:rFonts w:ascii="Segoe UI" w:hAnsi="Segoe UI" w:cs="Segoe UI"/>
            <w:color w:val="0066CC"/>
            <w:sz w:val="20"/>
            <w:szCs w:val="20"/>
          </w:rPr>
          <w:t>https://www.ncbi.nlm.nih.gov/pubmed/15692048</w:t>
        </w:r>
      </w:hyperlink>
      <w:r>
        <w:rPr>
          <w:rFonts w:ascii="Segoe UI" w:hAnsi="Segoe UI" w:cs="Segoe UI"/>
          <w:sz w:val="20"/>
          <w:szCs w:val="20"/>
        </w:rPr>
        <w:t xml:space="preserve">; </w:t>
      </w:r>
      <w:hyperlink r:id="rId68" w:tgtFrame="_blank" w:history="1">
        <w:r>
          <w:rPr>
            <w:rStyle w:val="Hyperlink"/>
            <w:rFonts w:ascii="Segoe UI" w:hAnsi="Segoe UI" w:cs="Segoe UI"/>
            <w:color w:val="0066CC"/>
            <w:sz w:val="20"/>
            <w:szCs w:val="20"/>
          </w:rPr>
          <w:t>https://www.ncbi.nlm.nih.gov/pubmed/26992325</w:t>
        </w:r>
      </w:hyperlink>
      <w:r>
        <w:rPr>
          <w:rFonts w:ascii="Segoe UI" w:hAnsi="Segoe UI" w:cs="Segoe UI"/>
          <w:sz w:val="20"/>
          <w:szCs w:val="20"/>
        </w:rPr>
        <w:t xml:space="preserve">; </w:t>
      </w:r>
      <w:hyperlink r:id="rId69" w:tgtFrame="_blank" w:history="1">
        <w:r>
          <w:rPr>
            <w:rStyle w:val="Hyperlink"/>
            <w:rFonts w:ascii="Segoe UI" w:hAnsi="Segoe UI" w:cs="Segoe UI"/>
            <w:color w:val="0066CC"/>
            <w:sz w:val="20"/>
            <w:szCs w:val="20"/>
          </w:rPr>
          <w:t>http://www.cell.com/trends/biochemical-sciences/abstract/S0968-0004(05)00115-5</w:t>
        </w:r>
      </w:hyperlink>
      <w:r>
        <w:rPr>
          <w:rFonts w:ascii="Segoe UI" w:hAnsi="Segoe UI" w:cs="Segoe UI"/>
          <w:sz w:val="20"/>
          <w:szCs w:val="20"/>
        </w:rPr>
        <w:t>).</w:t>
      </w:r>
    </w:p>
    <w:p w:rsidR="00DB68A3" w:rsidRDefault="00DB68A3" w:rsidP="00DB68A3">
      <w:pPr>
        <w:pStyle w:val="StandardWeb"/>
        <w:spacing w:after="0" w:afterAutospacing="0"/>
        <w:rPr>
          <w:rFonts w:ascii="Segoe UI" w:hAnsi="Segoe UI" w:cs="Segoe UI"/>
          <w:sz w:val="18"/>
          <w:szCs w:val="18"/>
        </w:rPr>
      </w:pPr>
      <w:r>
        <w:rPr>
          <w:rFonts w:ascii="Segoe UI" w:hAnsi="Segoe UI" w:cs="Segoe UI"/>
          <w:noProof/>
          <w:sz w:val="18"/>
          <w:szCs w:val="18"/>
        </w:rPr>
        <w:drawing>
          <wp:inline distT="0" distB="0" distL="0" distR="0">
            <wp:extent cx="6217668" cy="2937715"/>
            <wp:effectExtent l="0" t="0" r="0" b="0"/>
            <wp:docPr id="8" name="Grafik 8" descr="Inlin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Bild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17994" cy="2937869"/>
                    </a:xfrm>
                    <a:prstGeom prst="rect">
                      <a:avLst/>
                    </a:prstGeom>
                    <a:noFill/>
                    <a:ln>
                      <a:noFill/>
                    </a:ln>
                  </pic:spPr>
                </pic:pic>
              </a:graphicData>
            </a:graphic>
          </wp:inline>
        </w:drawing>
      </w:r>
    </w:p>
    <w:p w:rsidR="00DB68A3" w:rsidRDefault="00DB68A3" w:rsidP="00DB68A3">
      <w:pPr>
        <w:pStyle w:val="StandardWeb"/>
        <w:spacing w:after="0" w:afterAutospacing="0"/>
        <w:rPr>
          <w:rFonts w:ascii="Segoe UI" w:hAnsi="Segoe UI" w:cs="Segoe UI"/>
          <w:sz w:val="18"/>
          <w:szCs w:val="18"/>
        </w:rPr>
      </w:pPr>
      <w:r>
        <w:rPr>
          <w:rFonts w:ascii="Segoe UI" w:hAnsi="Segoe UI" w:cs="Segoe UI"/>
          <w:sz w:val="20"/>
          <w:szCs w:val="20"/>
        </w:rPr>
        <w:t xml:space="preserve">Kritische Wissenschaftler vermuten, dass dieser Vorgang bei irreversibler Hemmung der </w:t>
      </w:r>
      <w:proofErr w:type="spellStart"/>
      <w:r>
        <w:rPr>
          <w:rFonts w:ascii="Segoe UI" w:hAnsi="Segoe UI" w:cs="Segoe UI"/>
          <w:sz w:val="20"/>
          <w:szCs w:val="20"/>
        </w:rPr>
        <w:t>Aconitase</w:t>
      </w:r>
      <w:proofErr w:type="spellEnd"/>
      <w:r>
        <w:rPr>
          <w:rFonts w:ascii="Segoe UI" w:hAnsi="Segoe UI" w:cs="Segoe UI"/>
          <w:sz w:val="20"/>
          <w:szCs w:val="20"/>
        </w:rPr>
        <w:t xml:space="preserve"> durch Fluoressigsäure bzw. Fluorcitrat maßgeblich erschwert wird und hieraus eine Abnahme der </w:t>
      </w:r>
      <w:proofErr w:type="spellStart"/>
      <w:r>
        <w:rPr>
          <w:rFonts w:ascii="Segoe UI" w:hAnsi="Segoe UI" w:cs="Segoe UI"/>
          <w:sz w:val="20"/>
          <w:szCs w:val="20"/>
        </w:rPr>
        <w:t>mtDNA</w:t>
      </w:r>
      <w:proofErr w:type="spellEnd"/>
      <w:r>
        <w:rPr>
          <w:rFonts w:ascii="Segoe UI" w:hAnsi="Segoe UI" w:cs="Segoe UI"/>
          <w:sz w:val="20"/>
          <w:szCs w:val="20"/>
        </w:rPr>
        <w:t xml:space="preserve"> resultiert (</w:t>
      </w:r>
      <w:hyperlink r:id="rId71" w:tgtFrame="_blank" w:history="1">
        <w:r>
          <w:rPr>
            <w:rStyle w:val="Hyperlink"/>
            <w:rFonts w:ascii="Segoe UI" w:hAnsi="Segoe UI" w:cs="Segoe UI"/>
            <w:color w:val="0066CC"/>
            <w:sz w:val="20"/>
            <w:szCs w:val="20"/>
          </w:rPr>
          <w:t>http://www.stop1080poison.com/files/Download/1080ScanlonORAL%20SUBMISSION%20for%20ERMA.doc</w:t>
        </w:r>
      </w:hyperlink>
      <w:r>
        <w:rPr>
          <w:rFonts w:ascii="Segoe UI" w:hAnsi="Segoe UI" w:cs="Segoe UI"/>
          <w:sz w:val="20"/>
          <w:szCs w:val="20"/>
        </w:rPr>
        <w:t>).</w:t>
      </w:r>
    </w:p>
    <w:p w:rsidR="00DB68A3" w:rsidRDefault="00DB68A3" w:rsidP="00DB68A3">
      <w:pPr>
        <w:pStyle w:val="StandardWeb"/>
        <w:spacing w:after="0" w:afterAutospacing="0"/>
        <w:rPr>
          <w:rFonts w:ascii="Segoe UI" w:hAnsi="Segoe UI" w:cs="Segoe UI"/>
          <w:sz w:val="18"/>
          <w:szCs w:val="18"/>
        </w:rPr>
      </w:pPr>
      <w:r>
        <w:rPr>
          <w:rFonts w:ascii="Segoe UI" w:hAnsi="Segoe UI" w:cs="Segoe UI"/>
          <w:sz w:val="20"/>
          <w:szCs w:val="20"/>
        </w:rPr>
        <w:t xml:space="preserve">Die </w:t>
      </w:r>
      <w:proofErr w:type="spellStart"/>
      <w:r>
        <w:rPr>
          <w:rFonts w:ascii="Segoe UI" w:hAnsi="Segoe UI" w:cs="Segoe UI"/>
          <w:sz w:val="20"/>
          <w:szCs w:val="20"/>
        </w:rPr>
        <w:t>Aconitase</w:t>
      </w:r>
      <w:proofErr w:type="spellEnd"/>
      <w:r>
        <w:rPr>
          <w:rFonts w:ascii="Segoe UI" w:hAnsi="Segoe UI" w:cs="Segoe UI"/>
          <w:sz w:val="20"/>
          <w:szCs w:val="20"/>
        </w:rPr>
        <w:t xml:space="preserve"> besteht aus einem Eisen-Schwefel-Cluster, dessen Biogenese maßgeblich von </w:t>
      </w:r>
      <w:proofErr w:type="spellStart"/>
      <w:r>
        <w:rPr>
          <w:rFonts w:ascii="Segoe UI" w:hAnsi="Segoe UI" w:cs="Segoe UI"/>
          <w:sz w:val="20"/>
          <w:szCs w:val="20"/>
        </w:rPr>
        <w:t>Glutathion</w:t>
      </w:r>
      <w:proofErr w:type="spellEnd"/>
      <w:r>
        <w:rPr>
          <w:rFonts w:ascii="Segoe UI" w:hAnsi="Segoe UI" w:cs="Segoe UI"/>
          <w:sz w:val="20"/>
          <w:szCs w:val="20"/>
        </w:rPr>
        <w:t xml:space="preserve"> abhängt. Fluorcitrat bildet mit diesem Cluster stabile Komplexe und unterbindet die </w:t>
      </w:r>
      <w:proofErr w:type="spellStart"/>
      <w:r>
        <w:rPr>
          <w:rFonts w:ascii="Segoe UI" w:hAnsi="Segoe UI" w:cs="Segoe UI"/>
          <w:sz w:val="20"/>
          <w:szCs w:val="20"/>
        </w:rPr>
        <w:t>Glutathionzufuhr</w:t>
      </w:r>
      <w:proofErr w:type="spellEnd"/>
      <w:r>
        <w:rPr>
          <w:rFonts w:ascii="Segoe UI" w:hAnsi="Segoe UI" w:cs="Segoe UI"/>
          <w:sz w:val="20"/>
          <w:szCs w:val="20"/>
        </w:rPr>
        <w:t xml:space="preserve">. </w:t>
      </w:r>
      <w:proofErr w:type="spellStart"/>
      <w:r>
        <w:rPr>
          <w:rFonts w:ascii="Segoe UI" w:hAnsi="Segoe UI" w:cs="Segoe UI"/>
          <w:sz w:val="20"/>
          <w:szCs w:val="20"/>
        </w:rPr>
        <w:t>Bedenklicherweise</w:t>
      </w:r>
      <w:proofErr w:type="spellEnd"/>
      <w:r>
        <w:rPr>
          <w:rFonts w:ascii="Segoe UI" w:hAnsi="Segoe UI" w:cs="Segoe UI"/>
          <w:sz w:val="20"/>
          <w:szCs w:val="20"/>
        </w:rPr>
        <w:t xml:space="preserve"> können auch </w:t>
      </w:r>
      <w:proofErr w:type="spellStart"/>
      <w:r>
        <w:rPr>
          <w:rFonts w:ascii="Segoe UI" w:hAnsi="Segoe UI" w:cs="Segoe UI"/>
          <w:sz w:val="20"/>
          <w:szCs w:val="20"/>
        </w:rPr>
        <w:t>Fluorchinolone</w:t>
      </w:r>
      <w:proofErr w:type="spellEnd"/>
      <w:r>
        <w:rPr>
          <w:rFonts w:ascii="Segoe UI" w:hAnsi="Segoe UI" w:cs="Segoe UI"/>
          <w:sz w:val="20"/>
          <w:szCs w:val="20"/>
        </w:rPr>
        <w:t xml:space="preserve"> stabile Komplexe mit Eisen bilden (</w:t>
      </w:r>
      <w:hyperlink r:id="rId72" w:tgtFrame="_blank" w:history="1">
        <w:r>
          <w:rPr>
            <w:rStyle w:val="Hyperlink"/>
            <w:rFonts w:ascii="Segoe UI" w:hAnsi="Segoe UI" w:cs="Segoe UI"/>
            <w:color w:val="0066CC"/>
            <w:sz w:val="20"/>
            <w:szCs w:val="20"/>
          </w:rPr>
          <w:t>https://www.ncbi.nlm.nih.gov/pubmed/23923386</w:t>
        </w:r>
      </w:hyperlink>
      <w:r>
        <w:rPr>
          <w:rFonts w:ascii="Segoe UI" w:hAnsi="Segoe UI" w:cs="Segoe UI"/>
          <w:sz w:val="20"/>
          <w:szCs w:val="20"/>
        </w:rPr>
        <w:t xml:space="preserve">; </w:t>
      </w:r>
      <w:hyperlink r:id="rId73" w:tgtFrame="_blank" w:history="1">
        <w:r>
          <w:rPr>
            <w:rStyle w:val="Hyperlink"/>
            <w:rFonts w:ascii="Segoe UI" w:hAnsi="Segoe UI" w:cs="Segoe UI"/>
            <w:color w:val="0066CC"/>
            <w:sz w:val="20"/>
            <w:szCs w:val="20"/>
          </w:rPr>
          <w:t>https://www.ncbi.nlm.nih.gov/pmc/articles/PMC4571980/</w:t>
        </w:r>
      </w:hyperlink>
      <w:r>
        <w:rPr>
          <w:rFonts w:ascii="Segoe UI" w:hAnsi="Segoe UI" w:cs="Segoe UI"/>
          <w:sz w:val="20"/>
          <w:szCs w:val="20"/>
        </w:rPr>
        <w:t xml:space="preserve">) und dem Organismus </w:t>
      </w:r>
      <w:proofErr w:type="spellStart"/>
      <w:r>
        <w:rPr>
          <w:rFonts w:ascii="Segoe UI" w:hAnsi="Segoe UI" w:cs="Segoe UI"/>
          <w:sz w:val="20"/>
          <w:szCs w:val="20"/>
        </w:rPr>
        <w:t>Glutathion</w:t>
      </w:r>
      <w:proofErr w:type="spellEnd"/>
      <w:r>
        <w:rPr>
          <w:rFonts w:ascii="Segoe UI" w:hAnsi="Segoe UI" w:cs="Segoe UI"/>
          <w:sz w:val="20"/>
          <w:szCs w:val="20"/>
        </w:rPr>
        <w:t xml:space="preserve"> entziehen (</w:t>
      </w:r>
      <w:hyperlink r:id="rId74" w:tgtFrame="_blank" w:history="1">
        <w:r>
          <w:rPr>
            <w:rStyle w:val="Hyperlink"/>
            <w:rFonts w:ascii="Segoe UI" w:hAnsi="Segoe UI" w:cs="Segoe UI"/>
            <w:color w:val="0066CC"/>
            <w:sz w:val="20"/>
            <w:szCs w:val="20"/>
          </w:rPr>
          <w:t>https://www.ncbi.nlm.nih.gov/pmc/articles/PMC3249743/</w:t>
        </w:r>
      </w:hyperlink>
      <w:r>
        <w:rPr>
          <w:rFonts w:ascii="Segoe UI" w:hAnsi="Segoe UI" w:cs="Segoe UI"/>
          <w:sz w:val="20"/>
          <w:szCs w:val="20"/>
        </w:rPr>
        <w:t>).</w:t>
      </w:r>
    </w:p>
    <w:p w:rsidR="00DB68A3" w:rsidRDefault="00DB68A3" w:rsidP="00DB68A3">
      <w:pPr>
        <w:pStyle w:val="StandardWeb"/>
        <w:spacing w:after="0" w:afterAutospacing="0"/>
        <w:rPr>
          <w:rFonts w:ascii="Segoe UI" w:hAnsi="Segoe UI" w:cs="Segoe UI"/>
          <w:sz w:val="18"/>
          <w:szCs w:val="18"/>
        </w:rPr>
      </w:pPr>
      <w:r>
        <w:rPr>
          <w:rFonts w:ascii="Segoe UI" w:hAnsi="Segoe UI" w:cs="Segoe UI"/>
          <w:sz w:val="20"/>
          <w:szCs w:val="20"/>
        </w:rPr>
        <w:t xml:space="preserve">THZ wären also insofern als Biomarker einer </w:t>
      </w:r>
      <w:proofErr w:type="spellStart"/>
      <w:r>
        <w:rPr>
          <w:rFonts w:ascii="Segoe UI" w:hAnsi="Segoe UI" w:cs="Segoe UI"/>
          <w:sz w:val="20"/>
          <w:szCs w:val="20"/>
        </w:rPr>
        <w:t>Fluorchinolonvergiftung</w:t>
      </w:r>
      <w:proofErr w:type="spellEnd"/>
      <w:r>
        <w:rPr>
          <w:rFonts w:ascii="Segoe UI" w:hAnsi="Segoe UI" w:cs="Segoe UI"/>
          <w:sz w:val="20"/>
          <w:szCs w:val="20"/>
        </w:rPr>
        <w:t xml:space="preserve"> geeignet, als sie spezifisch auf Tryptophan angewiesen sind und </w:t>
      </w:r>
      <w:proofErr w:type="spellStart"/>
      <w:r>
        <w:rPr>
          <w:rFonts w:ascii="Segoe UI" w:hAnsi="Segoe UI" w:cs="Segoe UI"/>
          <w:sz w:val="20"/>
          <w:szCs w:val="20"/>
        </w:rPr>
        <w:t>Fluorchinolone</w:t>
      </w:r>
      <w:proofErr w:type="spellEnd"/>
      <w:r>
        <w:rPr>
          <w:rFonts w:ascii="Segoe UI" w:hAnsi="Segoe UI" w:cs="Segoe UI"/>
          <w:sz w:val="20"/>
          <w:szCs w:val="20"/>
        </w:rPr>
        <w:t xml:space="preserve"> über potentielle Tryptophan-Antimetaboliten in die </w:t>
      </w:r>
      <w:r>
        <w:rPr>
          <w:rFonts w:ascii="Segoe UI" w:hAnsi="Segoe UI" w:cs="Segoe UI"/>
          <w:sz w:val="20"/>
          <w:szCs w:val="20"/>
        </w:rPr>
        <w:lastRenderedPageBreak/>
        <w:t xml:space="preserve">Mitochondrien von THZ eindringen können, um dort zu Fluoracetat abgebaut zu werden, den </w:t>
      </w:r>
      <w:proofErr w:type="spellStart"/>
      <w:r>
        <w:rPr>
          <w:rFonts w:ascii="Segoe UI" w:hAnsi="Segoe UI" w:cs="Segoe UI"/>
          <w:sz w:val="20"/>
          <w:szCs w:val="20"/>
        </w:rPr>
        <w:t>Citratzyklus</w:t>
      </w:r>
      <w:proofErr w:type="spellEnd"/>
      <w:r>
        <w:rPr>
          <w:rFonts w:ascii="Segoe UI" w:hAnsi="Segoe UI" w:cs="Segoe UI"/>
          <w:sz w:val="20"/>
          <w:szCs w:val="20"/>
        </w:rPr>
        <w:t xml:space="preserve"> zu vergiften und die </w:t>
      </w:r>
      <w:proofErr w:type="spellStart"/>
      <w:r>
        <w:rPr>
          <w:rFonts w:ascii="Segoe UI" w:hAnsi="Segoe UI" w:cs="Segoe UI"/>
          <w:sz w:val="20"/>
          <w:szCs w:val="20"/>
        </w:rPr>
        <w:t>mtDNA</w:t>
      </w:r>
      <w:proofErr w:type="spellEnd"/>
      <w:r>
        <w:rPr>
          <w:rFonts w:ascii="Segoe UI" w:hAnsi="Segoe UI" w:cs="Segoe UI"/>
          <w:sz w:val="20"/>
          <w:szCs w:val="20"/>
        </w:rPr>
        <w:t xml:space="preserve"> zu schädigen.</w:t>
      </w:r>
    </w:p>
    <w:p w:rsidR="00DB68A3" w:rsidRDefault="00DB68A3" w:rsidP="00DB68A3">
      <w:pPr>
        <w:pStyle w:val="StandardWeb"/>
        <w:spacing w:after="0" w:afterAutospacing="0"/>
        <w:rPr>
          <w:rFonts w:ascii="Segoe UI" w:hAnsi="Segoe UI" w:cs="Segoe UI"/>
          <w:sz w:val="18"/>
          <w:szCs w:val="18"/>
        </w:rPr>
      </w:pPr>
      <w:r>
        <w:rPr>
          <w:rFonts w:ascii="Segoe UI" w:hAnsi="Segoe UI" w:cs="Segoe UI"/>
          <w:sz w:val="20"/>
          <w:szCs w:val="20"/>
        </w:rPr>
        <w:t xml:space="preserve">Interessanterweise wurde im Tierversuch sowohl mit </w:t>
      </w:r>
      <w:proofErr w:type="spellStart"/>
      <w:r>
        <w:rPr>
          <w:rFonts w:ascii="Segoe UI" w:hAnsi="Segoe UI" w:cs="Segoe UI"/>
          <w:sz w:val="20"/>
          <w:szCs w:val="20"/>
        </w:rPr>
        <w:t>Ciprofloxacin</w:t>
      </w:r>
      <w:proofErr w:type="spellEnd"/>
      <w:r>
        <w:rPr>
          <w:rFonts w:ascii="Segoe UI" w:hAnsi="Segoe UI" w:cs="Segoe UI"/>
          <w:sz w:val="20"/>
          <w:szCs w:val="20"/>
        </w:rPr>
        <w:t xml:space="preserve"> (DOI: 10.2217/nnm.14.209) als auch mit erhöhten Fluordosierungen (DOI: 10.1007/s12011-009-8373-2) eine Erniedrigung der CD4/CD8-Ratio beobachtet.</w:t>
      </w:r>
    </w:p>
    <w:p w:rsidR="00DB68A3" w:rsidRDefault="00DB68A3" w:rsidP="00DB68A3">
      <w:pPr>
        <w:pStyle w:val="StandardWeb"/>
        <w:spacing w:after="0" w:afterAutospacing="0"/>
        <w:rPr>
          <w:rFonts w:ascii="Segoe UI" w:hAnsi="Segoe UI" w:cs="Segoe UI"/>
          <w:sz w:val="18"/>
          <w:szCs w:val="18"/>
        </w:rPr>
      </w:pPr>
      <w:r>
        <w:rPr>
          <w:rFonts w:ascii="Segoe UI" w:hAnsi="Segoe UI" w:cs="Segoe UI"/>
          <w:sz w:val="20"/>
          <w:szCs w:val="20"/>
        </w:rPr>
        <w:t xml:space="preserve">Ein weiterer, mit obigem Parameter assoziierter Marker ist das </w:t>
      </w:r>
      <w:proofErr w:type="spellStart"/>
      <w:r>
        <w:rPr>
          <w:rFonts w:ascii="Segoe UI" w:hAnsi="Segoe UI" w:cs="Segoe UI"/>
          <w:sz w:val="20"/>
          <w:szCs w:val="20"/>
        </w:rPr>
        <w:t>Tryptophanabbauprodukt</w:t>
      </w:r>
      <w:proofErr w:type="spellEnd"/>
      <w:r>
        <w:rPr>
          <w:rFonts w:ascii="Segoe UI" w:hAnsi="Segoe UI" w:cs="Segoe UI"/>
          <w:sz w:val="20"/>
          <w:szCs w:val="20"/>
        </w:rPr>
        <w:t xml:space="preserve"> 3-Indoxylsulfat (3-IS, </w:t>
      </w:r>
      <w:proofErr w:type="spellStart"/>
      <w:r>
        <w:rPr>
          <w:rFonts w:ascii="Segoe UI" w:hAnsi="Segoe UI" w:cs="Segoe UI"/>
          <w:sz w:val="20"/>
          <w:szCs w:val="20"/>
        </w:rPr>
        <w:t>Harnindikan</w:t>
      </w:r>
      <w:proofErr w:type="spellEnd"/>
      <w:r>
        <w:rPr>
          <w:rFonts w:ascii="Segoe UI" w:hAnsi="Segoe UI" w:cs="Segoe UI"/>
          <w:sz w:val="20"/>
          <w:szCs w:val="20"/>
        </w:rPr>
        <w:t xml:space="preserve">), welches bei erniedrigten Harnspiegeln mit Störungen des Mikrobioms, entzündlichen Veränderungen des Endothels und einer Fehlregulation von T-Helferzellen korreliert. In einer sequentiellen </w:t>
      </w:r>
      <w:proofErr w:type="spellStart"/>
      <w:r>
        <w:rPr>
          <w:rFonts w:ascii="Segoe UI" w:hAnsi="Segoe UI" w:cs="Segoe UI"/>
          <w:sz w:val="20"/>
          <w:szCs w:val="20"/>
        </w:rPr>
        <w:t>Kohortenstudie</w:t>
      </w:r>
      <w:proofErr w:type="spellEnd"/>
      <w:r>
        <w:rPr>
          <w:rFonts w:ascii="Segoe UI" w:hAnsi="Segoe UI" w:cs="Segoe UI"/>
          <w:sz w:val="20"/>
          <w:szCs w:val="20"/>
        </w:rPr>
        <w:t xml:space="preserve"> zeigten sich bei transplantierten Patienten, die mit der Wirkstoffkombination </w:t>
      </w:r>
      <w:proofErr w:type="spellStart"/>
      <w:r>
        <w:rPr>
          <w:rFonts w:ascii="Segoe UI" w:hAnsi="Segoe UI" w:cs="Segoe UI"/>
          <w:sz w:val="20"/>
          <w:szCs w:val="20"/>
        </w:rPr>
        <w:t>Ciprofloxacin</w:t>
      </w:r>
      <w:proofErr w:type="spellEnd"/>
      <w:r>
        <w:rPr>
          <w:rFonts w:ascii="Segoe UI" w:hAnsi="Segoe UI" w:cs="Segoe UI"/>
          <w:sz w:val="20"/>
          <w:szCs w:val="20"/>
        </w:rPr>
        <w:t>/</w:t>
      </w:r>
      <w:proofErr w:type="spellStart"/>
      <w:r>
        <w:rPr>
          <w:rFonts w:ascii="Segoe UI" w:hAnsi="Segoe UI" w:cs="Segoe UI"/>
          <w:sz w:val="20"/>
          <w:szCs w:val="20"/>
        </w:rPr>
        <w:t>Metronidazol</w:t>
      </w:r>
      <w:proofErr w:type="spellEnd"/>
      <w:r>
        <w:rPr>
          <w:rFonts w:ascii="Segoe UI" w:hAnsi="Segoe UI" w:cs="Segoe UI"/>
          <w:sz w:val="20"/>
          <w:szCs w:val="20"/>
        </w:rPr>
        <w:t xml:space="preserve"> behandelt wurden, signifikant erniedrigte 3-IS-Werte und ein erhöhtes Mortalitätsrisiko. Patienten, die stattdessen mit dem nebenwirkungsarmen Breitbandantibiotikum </w:t>
      </w:r>
      <w:proofErr w:type="spellStart"/>
      <w:r>
        <w:rPr>
          <w:rFonts w:ascii="Segoe UI" w:hAnsi="Segoe UI" w:cs="Segoe UI"/>
          <w:sz w:val="20"/>
          <w:szCs w:val="20"/>
        </w:rPr>
        <w:t>Rifaximin</w:t>
      </w:r>
      <w:proofErr w:type="spellEnd"/>
      <w:r>
        <w:rPr>
          <w:rFonts w:ascii="Segoe UI" w:hAnsi="Segoe UI" w:cs="Segoe UI"/>
          <w:sz w:val="20"/>
          <w:szCs w:val="20"/>
        </w:rPr>
        <w:t xml:space="preserve"> behandelt wurden, wiesen weder signifikant erniedrigte 3-IS-Werte noch ein erhöhtes Mortalitätsrisiko auf (</w:t>
      </w:r>
      <w:hyperlink r:id="rId75" w:tgtFrame="_blank" w:history="1">
        <w:r>
          <w:rPr>
            <w:rStyle w:val="Hyperlink"/>
            <w:rFonts w:ascii="Segoe UI" w:hAnsi="Segoe UI" w:cs="Segoe UI"/>
            <w:sz w:val="20"/>
            <w:szCs w:val="20"/>
          </w:rPr>
          <w:t>http://www.bloodjournal.org/content/126/14/1723?sso-checked=true</w:t>
        </w:r>
      </w:hyperlink>
      <w:r>
        <w:rPr>
          <w:rFonts w:ascii="Segoe UI" w:hAnsi="Segoe UI" w:cs="Segoe UI"/>
          <w:sz w:val="20"/>
          <w:szCs w:val="20"/>
        </w:rPr>
        <w:t xml:space="preserve">; </w:t>
      </w:r>
      <w:hyperlink r:id="rId76" w:tgtFrame="_blank" w:history="1">
        <w:r>
          <w:rPr>
            <w:rStyle w:val="Hyperlink"/>
            <w:rFonts w:ascii="Segoe UI" w:hAnsi="Segoe UI" w:cs="Segoe UI"/>
            <w:color w:val="0066CC"/>
            <w:sz w:val="20"/>
            <w:szCs w:val="20"/>
          </w:rPr>
          <w:t>https://www.ncbi.nlm.nih.gov/pubmed/26999466</w:t>
        </w:r>
      </w:hyperlink>
      <w:r>
        <w:rPr>
          <w:rFonts w:ascii="Segoe UI" w:hAnsi="Segoe UI" w:cs="Segoe UI"/>
          <w:sz w:val="20"/>
          <w:szCs w:val="20"/>
        </w:rPr>
        <w:t>).</w:t>
      </w:r>
    </w:p>
    <w:p w:rsidR="00DB68A3" w:rsidRDefault="00DB68A3" w:rsidP="0064547D">
      <w:pPr>
        <w:pStyle w:val="StandardWeb"/>
        <w:spacing w:after="0" w:afterAutospacing="0"/>
        <w:rPr>
          <w:rFonts w:ascii="Segoe UI" w:hAnsi="Segoe UI" w:cs="Segoe UI"/>
          <w:color w:val="888888"/>
          <w:sz w:val="20"/>
          <w:szCs w:val="20"/>
        </w:rPr>
      </w:pPr>
    </w:p>
    <w:p w:rsidR="00DD6FE7" w:rsidRDefault="00DD6FE7" w:rsidP="0064547D">
      <w:pPr>
        <w:pStyle w:val="StandardWeb"/>
        <w:spacing w:after="0" w:afterAutospacing="0"/>
        <w:rPr>
          <w:rFonts w:ascii="Segoe UI" w:hAnsi="Segoe UI" w:cs="Segoe UI"/>
          <w:color w:val="888888"/>
          <w:sz w:val="20"/>
          <w:szCs w:val="20"/>
        </w:rPr>
      </w:pPr>
    </w:p>
    <w:p w:rsidR="00DD6FE7" w:rsidRDefault="00DD6FE7" w:rsidP="0064547D">
      <w:pPr>
        <w:pStyle w:val="StandardWeb"/>
        <w:spacing w:after="0" w:afterAutospacing="0"/>
        <w:rPr>
          <w:rFonts w:ascii="Segoe UI" w:hAnsi="Segoe UI" w:cs="Segoe UI"/>
          <w:color w:val="888888"/>
          <w:sz w:val="20"/>
          <w:szCs w:val="20"/>
        </w:rPr>
      </w:pPr>
    </w:p>
    <w:p w:rsidR="0064547D" w:rsidRDefault="00DD6FE7">
      <w:r>
        <w:t xml:space="preserve">Auch wenn uns also bislang nur wenig Greifbares zum Thema Depression und Suizid zur Verfügung steht, hat es die WHO-Suizidstudie in sich. Hier werden als mögliche Trigger GABA, NMDA, ROS, </w:t>
      </w:r>
      <w:proofErr w:type="spellStart"/>
      <w:r>
        <w:t>microRNA</w:t>
      </w:r>
      <w:proofErr w:type="spellEnd"/>
      <w:r>
        <w:t xml:space="preserve"> und Serotonin genannt. Somit handelt es sich also um eine der ersten größeren Studien, die sich auf eine mögliche Störung des </w:t>
      </w:r>
      <w:proofErr w:type="spellStart"/>
      <w:r>
        <w:t>Tryptophanstoffwechsels</w:t>
      </w:r>
      <w:proofErr w:type="spellEnd"/>
      <w:r>
        <w:t xml:space="preserve"> durch FQs bezieht. Zudem lässt sich aus den Erhebungen ableiten, dass FQ-Patienten, die zusätzlich Antidepressiva oder Neuroleptika einnehmen, ein erhöhtes Suizidrisiko haben. Biochemisch ist das tatsächlich eine hochriskante Kombination, denn sogenannte Serotonin-</w:t>
      </w:r>
      <w:proofErr w:type="spellStart"/>
      <w:r>
        <w:t>Wiederaufnahmehemmer</w:t>
      </w:r>
      <w:proofErr w:type="spellEnd"/>
      <w:r>
        <w:t xml:space="preserve"> (SSRI), insbesondere der Problemkandidat Citalopram, greifen dem Wirkmechanismus entsprechend in den </w:t>
      </w:r>
      <w:proofErr w:type="spellStart"/>
      <w:r>
        <w:t>Tryptophanstoffwechsel</w:t>
      </w:r>
      <w:proofErr w:type="spellEnd"/>
      <w:r>
        <w:t xml:space="preserve"> ein, können 5-HIAA-Level senken und auf diesem Wege leider auch als </w:t>
      </w:r>
      <w:proofErr w:type="spellStart"/>
      <w:r>
        <w:t>Depressiva</w:t>
      </w:r>
      <w:proofErr w:type="spellEnd"/>
      <w:r>
        <w:t xml:space="preserve"> wirken. Wenn wir davon ausgehen, dass FQs durch Störung des </w:t>
      </w:r>
      <w:proofErr w:type="spellStart"/>
      <w:r>
        <w:t>Tryptophanstoffwechsels</w:t>
      </w:r>
      <w:proofErr w:type="spellEnd"/>
      <w:r>
        <w:t xml:space="preserve"> ebenfalls 5-HIAA-Level senken können, hätten wir im </w:t>
      </w:r>
      <w:proofErr w:type="spellStart"/>
      <w:r>
        <w:t>worst</w:t>
      </w:r>
      <w:proofErr w:type="spellEnd"/>
      <w:r>
        <w:t xml:space="preserve"> </w:t>
      </w:r>
      <w:proofErr w:type="spellStart"/>
      <w:r>
        <w:t>case</w:t>
      </w:r>
      <w:proofErr w:type="spellEnd"/>
      <w:r>
        <w:t xml:space="preserve"> eine fatale Potenzierung. Hinzu kommt, dass auch einige dieser neuroaktiven Substanzen einen lipophilen F-Substituenten aufweisen, da sie ja die Blut-Hirn-Schranke passieren sollen. Die F-Gehalte entsprechender Antidepressiva sind viel niedriger als bei den FQs, dafür werden erstere über wesentlich längere Zeiträume eingenommen. Andreas </w:t>
      </w:r>
      <w:proofErr w:type="spellStart"/>
      <w:r>
        <w:t>Lubitz</w:t>
      </w:r>
      <w:proofErr w:type="spellEnd"/>
      <w:r>
        <w:t xml:space="preserve"> hatte Citalopram im Blut. Kein unbedeutendes Detail...</w:t>
      </w:r>
    </w:p>
    <w:p w:rsidR="00EB395C" w:rsidRDefault="00EB395C"/>
    <w:p w:rsidR="00EB395C" w:rsidRDefault="00EB395C"/>
    <w:p w:rsidR="00EB395C" w:rsidRDefault="00EB395C"/>
    <w:p w:rsidR="00E35201" w:rsidRDefault="00E35201"/>
    <w:p w:rsidR="00E35201" w:rsidRDefault="00E35201"/>
    <w:p w:rsidR="00E35201" w:rsidRDefault="00E35201"/>
    <w:p w:rsidR="00EB395C" w:rsidRPr="00E35201" w:rsidRDefault="00EB395C">
      <w:pPr>
        <w:rPr>
          <w:b/>
        </w:rPr>
      </w:pPr>
      <w:r w:rsidRPr="00E35201">
        <w:rPr>
          <w:b/>
        </w:rPr>
        <w:lastRenderedPageBreak/>
        <w:t>Buc</w:t>
      </w:r>
      <w:r w:rsidR="00E35201">
        <w:rPr>
          <w:b/>
        </w:rPr>
        <w:t>h „Spezielle Labordiagnostik in</w:t>
      </w:r>
      <w:r w:rsidRPr="00E35201">
        <w:rPr>
          <w:b/>
        </w:rPr>
        <w:t xml:space="preserve"> der naturheilkundlichen Praxis“ von </w:t>
      </w:r>
    </w:p>
    <w:p w:rsidR="00EB395C" w:rsidRDefault="00EB395C">
      <w:r>
        <w:t xml:space="preserve">Ralf </w:t>
      </w:r>
      <w:proofErr w:type="spellStart"/>
      <w:r>
        <w:t>Kirkamm</w:t>
      </w:r>
      <w:proofErr w:type="spellEnd"/>
      <w:r>
        <w:t xml:space="preserve"> / Michael Martin</w:t>
      </w:r>
    </w:p>
    <w:p w:rsidR="00EB395C" w:rsidRDefault="00EB395C">
      <w:r>
        <w:rPr>
          <w:noProof/>
          <w:lang w:eastAsia="de-DE"/>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1060" cy="3590290"/>
            <wp:effectExtent l="0" t="5715"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rot="5400000">
                      <a:off x="0" y="0"/>
                      <a:ext cx="5941060" cy="3590290"/>
                    </a:xfrm>
                    <a:prstGeom prst="rect">
                      <a:avLst/>
                    </a:prstGeom>
                  </pic:spPr>
                </pic:pic>
              </a:graphicData>
            </a:graphic>
          </wp:anchor>
        </w:drawing>
      </w:r>
      <w:r>
        <w:br w:type="textWrapping" w:clear="all"/>
      </w:r>
    </w:p>
    <w:p w:rsidR="00C376CE" w:rsidRDefault="00C376CE"/>
    <w:p w:rsidR="00C376CE" w:rsidRDefault="009638C4">
      <w:r>
        <w:rPr>
          <w:noProof/>
          <w:lang w:eastAsia="de-DE"/>
        </w:rPr>
        <w:drawing>
          <wp:inline distT="0" distB="0" distL="0" distR="0" wp14:anchorId="7D521013" wp14:editId="0C347A70">
            <wp:extent cx="5941060" cy="763634"/>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1060" cy="763634"/>
                    </a:xfrm>
                    <a:prstGeom prst="rect">
                      <a:avLst/>
                    </a:prstGeom>
                  </pic:spPr>
                </pic:pic>
              </a:graphicData>
            </a:graphic>
          </wp:inline>
        </w:drawing>
      </w:r>
    </w:p>
    <w:p w:rsidR="00FA30B5" w:rsidRDefault="00FA30B5"/>
    <w:p w:rsidR="00FA30B5" w:rsidRDefault="00FA30B5">
      <w:r>
        <w:rPr>
          <w:noProof/>
          <w:lang w:eastAsia="de-DE"/>
        </w:rPr>
        <w:lastRenderedPageBreak/>
        <w:drawing>
          <wp:inline distT="0" distB="0" distL="0" distR="0" wp14:anchorId="13C3C732" wp14:editId="58BD791E">
            <wp:extent cx="5619750" cy="68199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19750" cy="6819900"/>
                    </a:xfrm>
                    <a:prstGeom prst="rect">
                      <a:avLst/>
                    </a:prstGeom>
                  </pic:spPr>
                </pic:pic>
              </a:graphicData>
            </a:graphic>
          </wp:inline>
        </w:drawing>
      </w:r>
    </w:p>
    <w:p w:rsidR="00DB5B0E" w:rsidRDefault="00DB5B0E">
      <w:r>
        <w:rPr>
          <w:noProof/>
          <w:lang w:eastAsia="de-DE"/>
        </w:rPr>
        <w:lastRenderedPageBreak/>
        <w:drawing>
          <wp:inline distT="0" distB="0" distL="0" distR="0" wp14:anchorId="69114379" wp14:editId="49570669">
            <wp:extent cx="5581650" cy="59531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581650" cy="5953125"/>
                    </a:xfrm>
                    <a:prstGeom prst="rect">
                      <a:avLst/>
                    </a:prstGeom>
                  </pic:spPr>
                </pic:pic>
              </a:graphicData>
            </a:graphic>
          </wp:inline>
        </w:drawing>
      </w:r>
    </w:p>
    <w:p w:rsidR="00DB5B0E" w:rsidRDefault="00DB5B0E">
      <w:r>
        <w:rPr>
          <w:noProof/>
          <w:lang w:eastAsia="de-DE"/>
        </w:rPr>
        <w:lastRenderedPageBreak/>
        <w:drawing>
          <wp:inline distT="0" distB="0" distL="0" distR="0" wp14:anchorId="61815188" wp14:editId="5CC8A8F1">
            <wp:extent cx="5629275" cy="651510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29275" cy="6515100"/>
                    </a:xfrm>
                    <a:prstGeom prst="rect">
                      <a:avLst/>
                    </a:prstGeom>
                  </pic:spPr>
                </pic:pic>
              </a:graphicData>
            </a:graphic>
          </wp:inline>
        </w:drawing>
      </w:r>
    </w:p>
    <w:p w:rsidR="00DB5B0E" w:rsidRDefault="00DB5B0E">
      <w:r>
        <w:rPr>
          <w:noProof/>
          <w:lang w:eastAsia="de-DE"/>
        </w:rPr>
        <w:lastRenderedPageBreak/>
        <w:drawing>
          <wp:inline distT="0" distB="0" distL="0" distR="0" wp14:anchorId="70BC13BD" wp14:editId="26847FA8">
            <wp:extent cx="5829300" cy="673417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829300" cy="6734175"/>
                    </a:xfrm>
                    <a:prstGeom prst="rect">
                      <a:avLst/>
                    </a:prstGeom>
                  </pic:spPr>
                </pic:pic>
              </a:graphicData>
            </a:graphic>
          </wp:inline>
        </w:drawing>
      </w:r>
    </w:p>
    <w:p w:rsidR="00267FCE" w:rsidRDefault="00267FCE"/>
    <w:p w:rsidR="00267FCE" w:rsidRDefault="00267FCE">
      <w:r>
        <w:rPr>
          <w:noProof/>
          <w:lang w:eastAsia="de-DE"/>
        </w:rPr>
        <w:lastRenderedPageBreak/>
        <w:drawing>
          <wp:inline distT="0" distB="0" distL="0" distR="0" wp14:anchorId="62F8BD81" wp14:editId="18BB637B">
            <wp:extent cx="5941060" cy="7930934"/>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1060" cy="7930934"/>
                    </a:xfrm>
                    <a:prstGeom prst="rect">
                      <a:avLst/>
                    </a:prstGeom>
                  </pic:spPr>
                </pic:pic>
              </a:graphicData>
            </a:graphic>
          </wp:inline>
        </w:drawing>
      </w:r>
    </w:p>
    <w:p w:rsidR="00267FCE" w:rsidRDefault="00267FCE">
      <w:r>
        <w:rPr>
          <w:noProof/>
          <w:lang w:eastAsia="de-DE"/>
        </w:rPr>
        <w:lastRenderedPageBreak/>
        <w:drawing>
          <wp:inline distT="0" distB="0" distL="0" distR="0" wp14:anchorId="2BA310C7" wp14:editId="77324095">
            <wp:extent cx="5941060" cy="7146200"/>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1060" cy="7146200"/>
                    </a:xfrm>
                    <a:prstGeom prst="rect">
                      <a:avLst/>
                    </a:prstGeom>
                  </pic:spPr>
                </pic:pic>
              </a:graphicData>
            </a:graphic>
          </wp:inline>
        </w:drawing>
      </w:r>
    </w:p>
    <w:sectPr w:rsidR="00267FCE" w:rsidSect="00766B6B">
      <w:headerReference w:type="even" r:id="rId85"/>
      <w:headerReference w:type="default" r:id="rId86"/>
      <w:footerReference w:type="even" r:id="rId87"/>
      <w:footerReference w:type="default" r:id="rId88"/>
      <w:headerReference w:type="first" r:id="rId89"/>
      <w:footerReference w:type="first" r:id="rId90"/>
      <w:pgSz w:w="11907" w:h="16840" w:code="9"/>
      <w:pgMar w:top="1417" w:right="1134" w:bottom="1418"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53A" w:rsidRDefault="00C2653A" w:rsidP="008A3922">
      <w:pPr>
        <w:spacing w:after="0" w:line="240" w:lineRule="auto"/>
      </w:pPr>
      <w:r>
        <w:separator/>
      </w:r>
    </w:p>
  </w:endnote>
  <w:endnote w:type="continuationSeparator" w:id="0">
    <w:p w:rsidR="00C2653A" w:rsidRDefault="00C2653A" w:rsidP="008A3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22" w:rsidRDefault="008A392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22" w:rsidRDefault="008A392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22" w:rsidRDefault="008A392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53A" w:rsidRDefault="00C2653A" w:rsidP="008A3922">
      <w:pPr>
        <w:spacing w:after="0" w:line="240" w:lineRule="auto"/>
      </w:pPr>
      <w:r>
        <w:separator/>
      </w:r>
    </w:p>
  </w:footnote>
  <w:footnote w:type="continuationSeparator" w:id="0">
    <w:p w:rsidR="00C2653A" w:rsidRDefault="00C2653A" w:rsidP="008A3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22" w:rsidRDefault="008A392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22" w:rsidRDefault="008A392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22" w:rsidRDefault="008A392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1F7C88"/>
    <w:multiLevelType w:val="multilevel"/>
    <w:tmpl w:val="71D6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916"/>
    <w:rsid w:val="000C0F04"/>
    <w:rsid w:val="00130FFC"/>
    <w:rsid w:val="0015449C"/>
    <w:rsid w:val="00180BE7"/>
    <w:rsid w:val="00207FFC"/>
    <w:rsid w:val="00224430"/>
    <w:rsid w:val="00267FCE"/>
    <w:rsid w:val="003A54DD"/>
    <w:rsid w:val="004115E5"/>
    <w:rsid w:val="005255FA"/>
    <w:rsid w:val="005F606A"/>
    <w:rsid w:val="0064102B"/>
    <w:rsid w:val="0064547D"/>
    <w:rsid w:val="00666BD3"/>
    <w:rsid w:val="006A1558"/>
    <w:rsid w:val="00713982"/>
    <w:rsid w:val="00766B6B"/>
    <w:rsid w:val="008A3922"/>
    <w:rsid w:val="00942933"/>
    <w:rsid w:val="009638C4"/>
    <w:rsid w:val="009D383F"/>
    <w:rsid w:val="00AE1E6E"/>
    <w:rsid w:val="00B1779F"/>
    <w:rsid w:val="00B95916"/>
    <w:rsid w:val="00C2653A"/>
    <w:rsid w:val="00C376CE"/>
    <w:rsid w:val="00CB4687"/>
    <w:rsid w:val="00CF3091"/>
    <w:rsid w:val="00D863F6"/>
    <w:rsid w:val="00DB5B0E"/>
    <w:rsid w:val="00DB68A3"/>
    <w:rsid w:val="00DD6FE7"/>
    <w:rsid w:val="00E10AC0"/>
    <w:rsid w:val="00E35201"/>
    <w:rsid w:val="00EB395C"/>
    <w:rsid w:val="00F07F3D"/>
    <w:rsid w:val="00FA30B5"/>
    <w:rsid w:val="00FB27A4"/>
    <w:rsid w:val="00FC0F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942933"/>
    <w:pPr>
      <w:spacing w:before="240" w:after="120" w:line="240" w:lineRule="auto"/>
      <w:outlineLvl w:val="0"/>
    </w:pPr>
    <w:rPr>
      <w:rFonts w:ascii="Times New Roman" w:eastAsia="Times New Roman" w:hAnsi="Times New Roman" w:cs="Times New Roman"/>
      <w:b/>
      <w:bCs/>
      <w:color w:val="000000"/>
      <w:kern w:val="36"/>
      <w:sz w:val="33"/>
      <w:szCs w:val="33"/>
      <w:lang w:eastAsia="de-DE"/>
    </w:rPr>
  </w:style>
  <w:style w:type="paragraph" w:styleId="berschrift3">
    <w:name w:val="heading 3"/>
    <w:basedOn w:val="Standard"/>
    <w:link w:val="berschrift3Zchn"/>
    <w:uiPriority w:val="9"/>
    <w:qFormat/>
    <w:rsid w:val="00942933"/>
    <w:pPr>
      <w:spacing w:before="308" w:after="154" w:line="240" w:lineRule="auto"/>
      <w:outlineLvl w:val="2"/>
    </w:pPr>
    <w:rPr>
      <w:rFonts w:ascii="Times New Roman" w:eastAsia="Times New Roman" w:hAnsi="Times New Roman" w:cs="Times New Roman"/>
      <w:b/>
      <w:bCs/>
      <w:color w:val="724128"/>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177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779F"/>
    <w:rPr>
      <w:rFonts w:ascii="Tahoma" w:hAnsi="Tahoma" w:cs="Tahoma"/>
      <w:sz w:val="16"/>
      <w:szCs w:val="16"/>
    </w:rPr>
  </w:style>
  <w:style w:type="character" w:styleId="Hyperlink">
    <w:name w:val="Hyperlink"/>
    <w:basedOn w:val="Absatz-Standardschriftart"/>
    <w:uiPriority w:val="99"/>
    <w:semiHidden/>
    <w:unhideWhenUsed/>
    <w:rsid w:val="00B1779F"/>
    <w:rPr>
      <w:color w:val="0000FF"/>
      <w:u w:val="single"/>
    </w:rPr>
  </w:style>
  <w:style w:type="paragraph" w:styleId="StandardWeb">
    <w:name w:val="Normal (Web)"/>
    <w:basedOn w:val="Standard"/>
    <w:uiPriority w:val="99"/>
    <w:unhideWhenUsed/>
    <w:rsid w:val="00180BE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942933"/>
    <w:rPr>
      <w:rFonts w:ascii="Times New Roman" w:eastAsia="Times New Roman" w:hAnsi="Times New Roman" w:cs="Times New Roman"/>
      <w:b/>
      <w:bCs/>
      <w:color w:val="000000"/>
      <w:kern w:val="36"/>
      <w:sz w:val="33"/>
      <w:szCs w:val="33"/>
      <w:lang w:eastAsia="de-DE"/>
    </w:rPr>
  </w:style>
  <w:style w:type="character" w:customStyle="1" w:styleId="berschrift3Zchn">
    <w:name w:val="Überschrift 3 Zchn"/>
    <w:basedOn w:val="Absatz-Standardschriftart"/>
    <w:link w:val="berschrift3"/>
    <w:uiPriority w:val="9"/>
    <w:rsid w:val="00942933"/>
    <w:rPr>
      <w:rFonts w:ascii="Times New Roman" w:eastAsia="Times New Roman" w:hAnsi="Times New Roman" w:cs="Times New Roman"/>
      <w:b/>
      <w:bCs/>
      <w:color w:val="724128"/>
      <w:sz w:val="26"/>
      <w:szCs w:val="26"/>
      <w:lang w:eastAsia="de-DE"/>
    </w:rPr>
  </w:style>
  <w:style w:type="character" w:customStyle="1" w:styleId="ui-ncbitoggler-master-text">
    <w:name w:val="ui-ncbitoggler-master-text"/>
    <w:basedOn w:val="Absatz-Standardschriftart"/>
    <w:rsid w:val="00942933"/>
  </w:style>
  <w:style w:type="paragraph" w:styleId="Kopfzeile">
    <w:name w:val="header"/>
    <w:basedOn w:val="Standard"/>
    <w:link w:val="KopfzeileZchn"/>
    <w:uiPriority w:val="99"/>
    <w:unhideWhenUsed/>
    <w:rsid w:val="008A39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3922"/>
  </w:style>
  <w:style w:type="paragraph" w:styleId="Fuzeile">
    <w:name w:val="footer"/>
    <w:basedOn w:val="Standard"/>
    <w:link w:val="FuzeileZchn"/>
    <w:uiPriority w:val="99"/>
    <w:unhideWhenUsed/>
    <w:rsid w:val="008A39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39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942933"/>
    <w:pPr>
      <w:spacing w:before="240" w:after="120" w:line="240" w:lineRule="auto"/>
      <w:outlineLvl w:val="0"/>
    </w:pPr>
    <w:rPr>
      <w:rFonts w:ascii="Times New Roman" w:eastAsia="Times New Roman" w:hAnsi="Times New Roman" w:cs="Times New Roman"/>
      <w:b/>
      <w:bCs/>
      <w:color w:val="000000"/>
      <w:kern w:val="36"/>
      <w:sz w:val="33"/>
      <w:szCs w:val="33"/>
      <w:lang w:eastAsia="de-DE"/>
    </w:rPr>
  </w:style>
  <w:style w:type="paragraph" w:styleId="berschrift3">
    <w:name w:val="heading 3"/>
    <w:basedOn w:val="Standard"/>
    <w:link w:val="berschrift3Zchn"/>
    <w:uiPriority w:val="9"/>
    <w:qFormat/>
    <w:rsid w:val="00942933"/>
    <w:pPr>
      <w:spacing w:before="308" w:after="154" w:line="240" w:lineRule="auto"/>
      <w:outlineLvl w:val="2"/>
    </w:pPr>
    <w:rPr>
      <w:rFonts w:ascii="Times New Roman" w:eastAsia="Times New Roman" w:hAnsi="Times New Roman" w:cs="Times New Roman"/>
      <w:b/>
      <w:bCs/>
      <w:color w:val="724128"/>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177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779F"/>
    <w:rPr>
      <w:rFonts w:ascii="Tahoma" w:hAnsi="Tahoma" w:cs="Tahoma"/>
      <w:sz w:val="16"/>
      <w:szCs w:val="16"/>
    </w:rPr>
  </w:style>
  <w:style w:type="character" w:styleId="Hyperlink">
    <w:name w:val="Hyperlink"/>
    <w:basedOn w:val="Absatz-Standardschriftart"/>
    <w:uiPriority w:val="99"/>
    <w:semiHidden/>
    <w:unhideWhenUsed/>
    <w:rsid w:val="00B1779F"/>
    <w:rPr>
      <w:color w:val="0000FF"/>
      <w:u w:val="single"/>
    </w:rPr>
  </w:style>
  <w:style w:type="paragraph" w:styleId="StandardWeb">
    <w:name w:val="Normal (Web)"/>
    <w:basedOn w:val="Standard"/>
    <w:uiPriority w:val="99"/>
    <w:unhideWhenUsed/>
    <w:rsid w:val="00180BE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942933"/>
    <w:rPr>
      <w:rFonts w:ascii="Times New Roman" w:eastAsia="Times New Roman" w:hAnsi="Times New Roman" w:cs="Times New Roman"/>
      <w:b/>
      <w:bCs/>
      <w:color w:val="000000"/>
      <w:kern w:val="36"/>
      <w:sz w:val="33"/>
      <w:szCs w:val="33"/>
      <w:lang w:eastAsia="de-DE"/>
    </w:rPr>
  </w:style>
  <w:style w:type="character" w:customStyle="1" w:styleId="berschrift3Zchn">
    <w:name w:val="Überschrift 3 Zchn"/>
    <w:basedOn w:val="Absatz-Standardschriftart"/>
    <w:link w:val="berschrift3"/>
    <w:uiPriority w:val="9"/>
    <w:rsid w:val="00942933"/>
    <w:rPr>
      <w:rFonts w:ascii="Times New Roman" w:eastAsia="Times New Roman" w:hAnsi="Times New Roman" w:cs="Times New Roman"/>
      <w:b/>
      <w:bCs/>
      <w:color w:val="724128"/>
      <w:sz w:val="26"/>
      <w:szCs w:val="26"/>
      <w:lang w:eastAsia="de-DE"/>
    </w:rPr>
  </w:style>
  <w:style w:type="character" w:customStyle="1" w:styleId="ui-ncbitoggler-master-text">
    <w:name w:val="ui-ncbitoggler-master-text"/>
    <w:basedOn w:val="Absatz-Standardschriftart"/>
    <w:rsid w:val="00942933"/>
  </w:style>
  <w:style w:type="paragraph" w:styleId="Kopfzeile">
    <w:name w:val="header"/>
    <w:basedOn w:val="Standard"/>
    <w:link w:val="KopfzeileZchn"/>
    <w:uiPriority w:val="99"/>
    <w:unhideWhenUsed/>
    <w:rsid w:val="008A39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3922"/>
  </w:style>
  <w:style w:type="paragraph" w:styleId="Fuzeile">
    <w:name w:val="footer"/>
    <w:basedOn w:val="Standard"/>
    <w:link w:val="FuzeileZchn"/>
    <w:uiPriority w:val="99"/>
    <w:unhideWhenUsed/>
    <w:rsid w:val="008A39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3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61806">
      <w:bodyDiv w:val="1"/>
      <w:marLeft w:val="0"/>
      <w:marRight w:val="0"/>
      <w:marTop w:val="0"/>
      <w:marBottom w:val="0"/>
      <w:divBdr>
        <w:top w:val="none" w:sz="0" w:space="0" w:color="auto"/>
        <w:left w:val="none" w:sz="0" w:space="0" w:color="auto"/>
        <w:bottom w:val="none" w:sz="0" w:space="0" w:color="auto"/>
        <w:right w:val="none" w:sz="0" w:space="0" w:color="auto"/>
      </w:divBdr>
      <w:divsChild>
        <w:div w:id="1525703037">
          <w:marLeft w:val="0"/>
          <w:marRight w:val="0"/>
          <w:marTop w:val="0"/>
          <w:marBottom w:val="0"/>
          <w:divBdr>
            <w:top w:val="none" w:sz="0" w:space="0" w:color="auto"/>
            <w:left w:val="none" w:sz="0" w:space="0" w:color="auto"/>
            <w:bottom w:val="none" w:sz="0" w:space="0" w:color="auto"/>
            <w:right w:val="none" w:sz="0" w:space="0" w:color="auto"/>
          </w:divBdr>
        </w:div>
      </w:divsChild>
    </w:div>
    <w:div w:id="430661094">
      <w:bodyDiv w:val="1"/>
      <w:marLeft w:val="0"/>
      <w:marRight w:val="0"/>
      <w:marTop w:val="0"/>
      <w:marBottom w:val="0"/>
      <w:divBdr>
        <w:top w:val="none" w:sz="0" w:space="0" w:color="auto"/>
        <w:left w:val="none" w:sz="0" w:space="0" w:color="auto"/>
        <w:bottom w:val="none" w:sz="0" w:space="0" w:color="auto"/>
        <w:right w:val="none" w:sz="0" w:space="0" w:color="auto"/>
      </w:divBdr>
      <w:divsChild>
        <w:div w:id="806169207">
          <w:marLeft w:val="0"/>
          <w:marRight w:val="0"/>
          <w:marTop w:val="0"/>
          <w:marBottom w:val="0"/>
          <w:divBdr>
            <w:top w:val="none" w:sz="0" w:space="0" w:color="auto"/>
            <w:left w:val="none" w:sz="0" w:space="0" w:color="auto"/>
            <w:bottom w:val="none" w:sz="0" w:space="0" w:color="auto"/>
            <w:right w:val="none" w:sz="0" w:space="0" w:color="auto"/>
          </w:divBdr>
          <w:divsChild>
            <w:div w:id="988746595">
              <w:marLeft w:val="0"/>
              <w:marRight w:val="0"/>
              <w:marTop w:val="0"/>
              <w:marBottom w:val="0"/>
              <w:divBdr>
                <w:top w:val="none" w:sz="0" w:space="0" w:color="auto"/>
                <w:left w:val="none" w:sz="0" w:space="0" w:color="auto"/>
                <w:bottom w:val="none" w:sz="0" w:space="0" w:color="auto"/>
                <w:right w:val="none" w:sz="0" w:space="0" w:color="auto"/>
              </w:divBdr>
            </w:div>
            <w:div w:id="989141088">
              <w:marLeft w:val="0"/>
              <w:marRight w:val="0"/>
              <w:marTop w:val="0"/>
              <w:marBottom w:val="0"/>
              <w:divBdr>
                <w:top w:val="none" w:sz="0" w:space="0" w:color="auto"/>
                <w:left w:val="none" w:sz="0" w:space="0" w:color="auto"/>
                <w:bottom w:val="none" w:sz="0" w:space="0" w:color="auto"/>
                <w:right w:val="none" w:sz="0" w:space="0" w:color="auto"/>
              </w:divBdr>
            </w:div>
            <w:div w:id="945307818">
              <w:marLeft w:val="0"/>
              <w:marRight w:val="0"/>
              <w:marTop w:val="0"/>
              <w:marBottom w:val="0"/>
              <w:divBdr>
                <w:top w:val="none" w:sz="0" w:space="0" w:color="auto"/>
                <w:left w:val="none" w:sz="0" w:space="0" w:color="auto"/>
                <w:bottom w:val="none" w:sz="0" w:space="0" w:color="auto"/>
                <w:right w:val="none" w:sz="0" w:space="0" w:color="auto"/>
              </w:divBdr>
            </w:div>
            <w:div w:id="1270316518">
              <w:marLeft w:val="0"/>
              <w:marRight w:val="0"/>
              <w:marTop w:val="0"/>
              <w:marBottom w:val="0"/>
              <w:divBdr>
                <w:top w:val="none" w:sz="0" w:space="0" w:color="auto"/>
                <w:left w:val="none" w:sz="0" w:space="0" w:color="auto"/>
                <w:bottom w:val="none" w:sz="0" w:space="0" w:color="auto"/>
                <w:right w:val="none" w:sz="0" w:space="0" w:color="auto"/>
              </w:divBdr>
            </w:div>
            <w:div w:id="482236324">
              <w:marLeft w:val="0"/>
              <w:marRight w:val="0"/>
              <w:marTop w:val="0"/>
              <w:marBottom w:val="0"/>
              <w:divBdr>
                <w:top w:val="none" w:sz="0" w:space="0" w:color="auto"/>
                <w:left w:val="none" w:sz="0" w:space="0" w:color="auto"/>
                <w:bottom w:val="none" w:sz="0" w:space="0" w:color="auto"/>
                <w:right w:val="none" w:sz="0" w:space="0" w:color="auto"/>
              </w:divBdr>
            </w:div>
            <w:div w:id="1434285755">
              <w:marLeft w:val="0"/>
              <w:marRight w:val="0"/>
              <w:marTop w:val="0"/>
              <w:marBottom w:val="0"/>
              <w:divBdr>
                <w:top w:val="none" w:sz="0" w:space="0" w:color="auto"/>
                <w:left w:val="none" w:sz="0" w:space="0" w:color="auto"/>
                <w:bottom w:val="none" w:sz="0" w:space="0" w:color="auto"/>
                <w:right w:val="none" w:sz="0" w:space="0" w:color="auto"/>
              </w:divBdr>
            </w:div>
            <w:div w:id="47815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21930">
      <w:bodyDiv w:val="1"/>
      <w:marLeft w:val="0"/>
      <w:marRight w:val="0"/>
      <w:marTop w:val="0"/>
      <w:marBottom w:val="0"/>
      <w:divBdr>
        <w:top w:val="none" w:sz="0" w:space="0" w:color="auto"/>
        <w:left w:val="none" w:sz="0" w:space="0" w:color="auto"/>
        <w:bottom w:val="none" w:sz="0" w:space="0" w:color="auto"/>
        <w:right w:val="none" w:sz="0" w:space="0" w:color="auto"/>
      </w:divBdr>
      <w:divsChild>
        <w:div w:id="1052460206">
          <w:marLeft w:val="0"/>
          <w:marRight w:val="0"/>
          <w:marTop w:val="0"/>
          <w:marBottom w:val="0"/>
          <w:divBdr>
            <w:top w:val="none" w:sz="0" w:space="0" w:color="auto"/>
            <w:left w:val="none" w:sz="0" w:space="0" w:color="auto"/>
            <w:bottom w:val="none" w:sz="0" w:space="0" w:color="auto"/>
            <w:right w:val="none" w:sz="0" w:space="0" w:color="auto"/>
          </w:divBdr>
          <w:divsChild>
            <w:div w:id="556891156">
              <w:marLeft w:val="0"/>
              <w:marRight w:val="0"/>
              <w:marTop w:val="0"/>
              <w:marBottom w:val="0"/>
              <w:divBdr>
                <w:top w:val="none" w:sz="0" w:space="0" w:color="auto"/>
                <w:left w:val="none" w:sz="0" w:space="0" w:color="auto"/>
                <w:bottom w:val="none" w:sz="0" w:space="0" w:color="auto"/>
                <w:right w:val="none" w:sz="0" w:space="0" w:color="auto"/>
              </w:divBdr>
              <w:divsChild>
                <w:div w:id="19046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7808">
      <w:bodyDiv w:val="1"/>
      <w:marLeft w:val="0"/>
      <w:marRight w:val="0"/>
      <w:marTop w:val="0"/>
      <w:marBottom w:val="0"/>
      <w:divBdr>
        <w:top w:val="none" w:sz="0" w:space="0" w:color="auto"/>
        <w:left w:val="none" w:sz="0" w:space="0" w:color="auto"/>
        <w:bottom w:val="none" w:sz="0" w:space="0" w:color="auto"/>
        <w:right w:val="none" w:sz="0" w:space="0" w:color="auto"/>
      </w:divBdr>
    </w:div>
    <w:div w:id="2066906865">
      <w:bodyDiv w:val="1"/>
      <w:marLeft w:val="0"/>
      <w:marRight w:val="0"/>
      <w:marTop w:val="0"/>
      <w:marBottom w:val="0"/>
      <w:divBdr>
        <w:top w:val="none" w:sz="0" w:space="0" w:color="auto"/>
        <w:left w:val="none" w:sz="0" w:space="0" w:color="auto"/>
        <w:bottom w:val="none" w:sz="0" w:space="0" w:color="auto"/>
        <w:right w:val="none" w:sz="0" w:space="0" w:color="auto"/>
      </w:divBdr>
      <w:divsChild>
        <w:div w:id="737480138">
          <w:marLeft w:val="0"/>
          <w:marRight w:val="1"/>
          <w:marTop w:val="0"/>
          <w:marBottom w:val="0"/>
          <w:divBdr>
            <w:top w:val="none" w:sz="0" w:space="0" w:color="auto"/>
            <w:left w:val="none" w:sz="0" w:space="0" w:color="auto"/>
            <w:bottom w:val="none" w:sz="0" w:space="0" w:color="auto"/>
            <w:right w:val="none" w:sz="0" w:space="0" w:color="auto"/>
          </w:divBdr>
          <w:divsChild>
            <w:div w:id="1878736701">
              <w:marLeft w:val="0"/>
              <w:marRight w:val="0"/>
              <w:marTop w:val="0"/>
              <w:marBottom w:val="0"/>
              <w:divBdr>
                <w:top w:val="none" w:sz="0" w:space="0" w:color="auto"/>
                <w:left w:val="none" w:sz="0" w:space="0" w:color="auto"/>
                <w:bottom w:val="none" w:sz="0" w:space="0" w:color="auto"/>
                <w:right w:val="none" w:sz="0" w:space="0" w:color="auto"/>
              </w:divBdr>
              <w:divsChild>
                <w:div w:id="1289509697">
                  <w:marLeft w:val="0"/>
                  <w:marRight w:val="1"/>
                  <w:marTop w:val="0"/>
                  <w:marBottom w:val="0"/>
                  <w:divBdr>
                    <w:top w:val="none" w:sz="0" w:space="0" w:color="auto"/>
                    <w:left w:val="none" w:sz="0" w:space="0" w:color="auto"/>
                    <w:bottom w:val="none" w:sz="0" w:space="0" w:color="auto"/>
                    <w:right w:val="none" w:sz="0" w:space="0" w:color="auto"/>
                  </w:divBdr>
                  <w:divsChild>
                    <w:div w:id="1609119223">
                      <w:marLeft w:val="0"/>
                      <w:marRight w:val="0"/>
                      <w:marTop w:val="0"/>
                      <w:marBottom w:val="0"/>
                      <w:divBdr>
                        <w:top w:val="none" w:sz="0" w:space="0" w:color="auto"/>
                        <w:left w:val="none" w:sz="0" w:space="0" w:color="auto"/>
                        <w:bottom w:val="none" w:sz="0" w:space="0" w:color="auto"/>
                        <w:right w:val="none" w:sz="0" w:space="0" w:color="auto"/>
                      </w:divBdr>
                      <w:divsChild>
                        <w:div w:id="1328173017">
                          <w:marLeft w:val="0"/>
                          <w:marRight w:val="0"/>
                          <w:marTop w:val="0"/>
                          <w:marBottom w:val="0"/>
                          <w:divBdr>
                            <w:top w:val="none" w:sz="0" w:space="0" w:color="auto"/>
                            <w:left w:val="none" w:sz="0" w:space="0" w:color="auto"/>
                            <w:bottom w:val="none" w:sz="0" w:space="0" w:color="auto"/>
                            <w:right w:val="none" w:sz="0" w:space="0" w:color="auto"/>
                          </w:divBdr>
                          <w:divsChild>
                            <w:div w:id="235096635">
                              <w:marLeft w:val="0"/>
                              <w:marRight w:val="0"/>
                              <w:marTop w:val="120"/>
                              <w:marBottom w:val="360"/>
                              <w:divBdr>
                                <w:top w:val="none" w:sz="0" w:space="0" w:color="auto"/>
                                <w:left w:val="none" w:sz="0" w:space="0" w:color="auto"/>
                                <w:bottom w:val="none" w:sz="0" w:space="0" w:color="auto"/>
                                <w:right w:val="none" w:sz="0" w:space="0" w:color="auto"/>
                              </w:divBdr>
                              <w:divsChild>
                                <w:div w:id="2002273138">
                                  <w:marLeft w:val="0"/>
                                  <w:marRight w:val="0"/>
                                  <w:marTop w:val="0"/>
                                  <w:marBottom w:val="0"/>
                                  <w:divBdr>
                                    <w:top w:val="none" w:sz="0" w:space="0" w:color="auto"/>
                                    <w:left w:val="none" w:sz="0" w:space="0" w:color="auto"/>
                                    <w:bottom w:val="none" w:sz="0" w:space="0" w:color="auto"/>
                                    <w:right w:val="none" w:sz="0" w:space="0" w:color="auto"/>
                                  </w:divBdr>
                                </w:div>
                                <w:div w:id="1378771793">
                                  <w:marLeft w:val="0"/>
                                  <w:marRight w:val="0"/>
                                  <w:marTop w:val="0"/>
                                  <w:marBottom w:val="0"/>
                                  <w:divBdr>
                                    <w:top w:val="none" w:sz="0" w:space="0" w:color="auto"/>
                                    <w:left w:val="none" w:sz="0" w:space="0" w:color="auto"/>
                                    <w:bottom w:val="none" w:sz="0" w:space="0" w:color="auto"/>
                                    <w:right w:val="none" w:sz="0" w:space="0" w:color="auto"/>
                                  </w:divBdr>
                                  <w:divsChild>
                                    <w:div w:id="532113331">
                                      <w:marLeft w:val="0"/>
                                      <w:marRight w:val="0"/>
                                      <w:marTop w:val="0"/>
                                      <w:marBottom w:val="0"/>
                                      <w:divBdr>
                                        <w:top w:val="none" w:sz="0" w:space="0" w:color="auto"/>
                                        <w:left w:val="none" w:sz="0" w:space="0" w:color="auto"/>
                                        <w:bottom w:val="none" w:sz="0" w:space="0" w:color="auto"/>
                                        <w:right w:val="none" w:sz="0" w:space="0" w:color="auto"/>
                                      </w:divBdr>
                                    </w:div>
                                  </w:divsChild>
                                </w:div>
                                <w:div w:id="1399399867">
                                  <w:marLeft w:val="0"/>
                                  <w:marRight w:val="0"/>
                                  <w:marTop w:val="0"/>
                                  <w:marBottom w:val="0"/>
                                  <w:divBdr>
                                    <w:top w:val="none" w:sz="0" w:space="0" w:color="auto"/>
                                    <w:left w:val="none" w:sz="0" w:space="0" w:color="auto"/>
                                    <w:bottom w:val="none" w:sz="0" w:space="0" w:color="auto"/>
                                    <w:right w:val="none" w:sz="0" w:space="0" w:color="auto"/>
                                  </w:divBdr>
                                  <w:divsChild>
                                    <w:div w:id="8623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cbi.nlm.nih.gov/pubmed/?term=Behan%20WM%5BAuthor%5D&amp;cauthor=true&amp;cauthor_uid=10588931" TargetMode="External"/><Relationship Id="rId26" Type="http://schemas.openxmlformats.org/officeDocument/2006/relationships/hyperlink" Target="https://deref-web-02.de/mail/client/BgiL7FJl80w/dereferrer/?redirectUrl=http%3A%2F%2Fwww.jimmunol.org%2Fcontent%2F184%2F9%2F4827.full.pdf" TargetMode="External"/><Relationship Id="rId39" Type="http://schemas.openxmlformats.org/officeDocument/2006/relationships/hyperlink" Target="https://deref-web-02.de/mail/client/1RoIch9ujA4/dereferrer/?redirectUrl=https%3A%2F%2Fwww.ncbi.nlm.nih.gov%2Fpmc%2Farticles%2FPMC91220%2F" TargetMode="External"/><Relationship Id="rId21" Type="http://schemas.openxmlformats.org/officeDocument/2006/relationships/hyperlink" Target="https://www.ncbi.nlm.nih.gov/pubmed/?term=Stone%20TW%5BAuthor%5D&amp;cauthor=true&amp;cauthor_uid=10588931" TargetMode="External"/><Relationship Id="rId34" Type="http://schemas.openxmlformats.org/officeDocument/2006/relationships/hyperlink" Target="https://deref-web-02.de/mail/client/fgRGcef4etg/dereferrer/?redirectUrl=https%3A%2F%2Fwww.ncbi.nlm.nih.gov%2Fpubmed%2F16393267" TargetMode="External"/><Relationship Id="rId42" Type="http://schemas.openxmlformats.org/officeDocument/2006/relationships/hyperlink" Target="https://deref-web-02.de/mail/client/bRjoOi54sm8/dereferrer/?redirectUrl=http%3A%2F%2Fwww.tandfonline.com%2Fdoi%2Fabs%2F10.1080%2F00032719.2010.546020" TargetMode="External"/><Relationship Id="rId47" Type="http://schemas.openxmlformats.org/officeDocument/2006/relationships/hyperlink" Target="https://deref-web-02.de/mail/client/WAMSA2EiDqg/dereferrer/?redirectUrl=https%3A%2F%2Fwww.ncbi.nlm.nih.gov%2Fpubmed%2F16379288" TargetMode="External"/><Relationship Id="rId50" Type="http://schemas.openxmlformats.org/officeDocument/2006/relationships/hyperlink" Target="https://deref-web-02.de/mail/client/TQ_fghwO6T4/dereferrer/?redirectUrl=http%3A%2F%2Fjem.rupress.org%2Fcontent%2F189%2F9%2F1363" TargetMode="External"/><Relationship Id="rId55" Type="http://schemas.openxmlformats.org/officeDocument/2006/relationships/hyperlink" Target="https://deref-web-02.de/mail/client/jNSK2XUcfJw/dereferrer/?redirectUrl=https%3A%2F%2Fcore.ac.uk%2Fdownload%2Fpdf%2F22862305.pdf%3FrepositoryId%3D145" TargetMode="External"/><Relationship Id="rId63" Type="http://schemas.openxmlformats.org/officeDocument/2006/relationships/hyperlink" Target="https://deref-web-02.de/mail/client/G7Ynwt6t1-k/dereferrer/?redirectUrl=http%3A%2F%2Flink.springer.com%2Farticle%2F10.1007%2FBF02814622" TargetMode="External"/><Relationship Id="rId68" Type="http://schemas.openxmlformats.org/officeDocument/2006/relationships/hyperlink" Target="https://deref-web-02.de/mail/client/DKHnzOmfMYs/dereferrer/?redirectUrl=https%3A%2F%2Fwww.ncbi.nlm.nih.gov%2Fpubmed%2F26992325" TargetMode="External"/><Relationship Id="rId76" Type="http://schemas.openxmlformats.org/officeDocument/2006/relationships/hyperlink" Target="https://deref-web-02.de/mail/client/FqD4FFv5tMg/dereferrer/?redirectUrl=https%3A%2F%2Fwww.ncbi.nlm.nih.gov%2Fpubmed%2F26999466" TargetMode="External"/><Relationship Id="rId84" Type="http://schemas.openxmlformats.org/officeDocument/2006/relationships/image" Target="media/image16.pn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deref-web-02.de/mail/client/zU9vo1ZOFpc/dereferrer/?redirectUrl=http%3A%2F%2Fwww.stop1080poison.com%2Ffiles%2FDownload%2F1080ScanlonORAL%2520SUBMISSION%2520for%2520ERMA.doc"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eref-web-02.de/mail/client/qtI2bmhRvyA/dereferrer/?redirectUrl=https%3A%2F%2Fwww.researchgate.net%2Fpublication%2F297683120_Serotonin_Is_Involved_in_Autoimmune_Arthritis_through_Th17_Immunity_and_Bone_Resorption" TargetMode="External"/><Relationship Id="rId11" Type="http://schemas.openxmlformats.org/officeDocument/2006/relationships/hyperlink" Target="https://deref-web-02.de/mail/client/YN87e4TyNOk/dereferrer/?redirectUrl=https%3A%2F%2Fde.wikipedia.org%2Fwiki%2F5-Hydroxyindolylessigs%25C3%25A4ure%23Biologische_Bedeutung" TargetMode="External"/><Relationship Id="rId24" Type="http://schemas.openxmlformats.org/officeDocument/2006/relationships/hyperlink" Target="https://deref-web-02.de/mail/client/s8o3_AF0w5Y/dereferrer/?redirectUrl=http%3A%2F%2Fjac.oxfordjournals.org%2Fcontent%2F56%2F3%2F502.full.pdf" TargetMode="External"/><Relationship Id="rId32" Type="http://schemas.openxmlformats.org/officeDocument/2006/relationships/hyperlink" Target="https://deref-web-02.de/mail/client/wZLnC2vt34Q/dereferrer/?redirectUrl=http%3A%2F%2Fwww.bloodjournal.org%2Fcontent%2F126%2F14%2F1723%3Fsso-checked%3Dtrue" TargetMode="External"/><Relationship Id="rId37" Type="http://schemas.openxmlformats.org/officeDocument/2006/relationships/hyperlink" Target="https://deref-web-02.de/mail/client/BgiL7FJl80w/dereferrer/?redirectUrl=http%3A%2F%2Fwww.jimmunol.org%2Fcontent%2F184%2F9%2F4827.full.pdf" TargetMode="External"/><Relationship Id="rId40" Type="http://schemas.openxmlformats.org/officeDocument/2006/relationships/hyperlink" Target="https://deref-web-02.de/mail/client/83MDtEUZOFg/dereferrer/?redirectUrl=https%3A%2F%2Fwww.researchgate.net%2Fpublication%2F23147300_Ozonation_of_Ciprofloxacin_in_Water_HRMS_Identification_of_Reaction_Products_and_Pathways" TargetMode="External"/><Relationship Id="rId45" Type="http://schemas.openxmlformats.org/officeDocument/2006/relationships/hyperlink" Target="https://deref-web-02.de/mail/client/gPxhznHIT70/dereferrer/?redirectUrl=https%3A%2F%2Fwww.researchgate.net%2Fpublication%2F223764458_Complexation_of_fluoroquinolone_antibiotics_with_human_serum_albumin_A_fluorescence_quenching_study" TargetMode="External"/><Relationship Id="rId53" Type="http://schemas.openxmlformats.org/officeDocument/2006/relationships/hyperlink" Target="https://deref-web-02.de/mail/client/qtI2bmhRvyA/dereferrer/?redirectUrl=https%3A%2F%2Fwww.researchgate.net%2Fpublication%2F297683120_Serotonin_Is_Involved_in_Autoimmune_Arthritis_through_Th17_Immunity_and_Bone_Resorption" TargetMode="External"/><Relationship Id="rId58" Type="http://schemas.openxmlformats.org/officeDocument/2006/relationships/hyperlink" Target="https://deref-web-02.de/mail/client/ZxXTL8ipQrw/dereferrer/?redirectUrl=http%3A%2F%2Fjournals.sagepub.com%2Fdoi%2Fpdf%2F10.1177%2F1087057110373547" TargetMode="External"/><Relationship Id="rId66" Type="http://schemas.openxmlformats.org/officeDocument/2006/relationships/hyperlink" Target="https://deref-web-02.de/mail/client/Vuh9ZNRzZtY/dereferrer/?redirectUrl=http%3A%2F%2Fwww.diss.fu-berlin.de%2Fdiss%2Freceive%2FFUDISS_thesis_000000100079" TargetMode="External"/><Relationship Id="rId74" Type="http://schemas.openxmlformats.org/officeDocument/2006/relationships/hyperlink" Target="https://deref-web-02.de/mail/client/H3It8E8-VT4/dereferrer/?redirectUrl=https%3A%2F%2Fwww.ncbi.nlm.nih.gov%2Fpmc%2Farticles%2FPMC3249743%2F" TargetMode="External"/><Relationship Id="rId79" Type="http://schemas.openxmlformats.org/officeDocument/2006/relationships/image" Target="media/image11.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eref-web-02.de/mail/client/aJHq1mbTbfw/dereferrer/?redirectUrl=https%3A%2F%2Fwww.ncbi.nlm.nih.gov%2Fpmc%2Farticles%2FPMC3760005%2F" TargetMode="External"/><Relationship Id="rId82" Type="http://schemas.openxmlformats.org/officeDocument/2006/relationships/image" Target="media/image14.png"/><Relationship Id="rId90" Type="http://schemas.openxmlformats.org/officeDocument/2006/relationships/footer" Target="footer3.xml"/><Relationship Id="rId19" Type="http://schemas.openxmlformats.org/officeDocument/2006/relationships/hyperlink" Target="https://www.ncbi.nlm.nih.gov/pubmed/?term=McDonald%20M%5BAuthor%5D&amp;cauthor=true&amp;cauthor_uid=10588931" TargetMode="External"/><Relationship Id="rId14" Type="http://schemas.openxmlformats.org/officeDocument/2006/relationships/hyperlink" Target="https://deref-web-02.de/mail/client/FVRsd_8fIr8/dereferrer/?redirectUrl=http%3A%2F%2Fjpp.krakow.pl%2Fjournal%2Farchive%2F02_16%2Farticles%2F01_article.html" TargetMode="External"/><Relationship Id="rId22" Type="http://schemas.openxmlformats.org/officeDocument/2006/relationships/hyperlink" Target="https://www.ncbi.nlm.nih.gov/pubmed/10588931?dopt=Abstract&amp;holding=f1000,f1000m,isrctn" TargetMode="External"/><Relationship Id="rId27" Type="http://schemas.openxmlformats.org/officeDocument/2006/relationships/hyperlink" Target="https://deref-web-02.de/mail/client/VX87jBEdXOA/dereferrer/?redirectUrl=https%3A%2F%2Fwww.ncbi.nlm.nih.gov%2Fpmc%2Farticles%2FPMC4205890%2F" TargetMode="External"/><Relationship Id="rId30" Type="http://schemas.openxmlformats.org/officeDocument/2006/relationships/image" Target="media/image5.png"/><Relationship Id="rId35" Type="http://schemas.openxmlformats.org/officeDocument/2006/relationships/hyperlink" Target="https://deref-web-02.de/mail/client/5-jBZWNJ_rc/dereferrer/?redirectUrl=http%3A%2F%2Fjac.oxfordjournals.org%2Fcontent%2F56%2F3%2F502.full.pdf%2C" TargetMode="External"/><Relationship Id="rId43" Type="http://schemas.openxmlformats.org/officeDocument/2006/relationships/hyperlink" Target="https://deref-web-02.de/mail/client/nCHBH8O1kQU/dereferrer/?redirectUrl=https%3A%2F%2Fwww.researchgate.net%2Fpublication%2F5943299_Ciprofloxacin_interactions_with_bacterial_protein_OmpF_Modelling_of_FRET_from_a_multi-tryptophan_protein_trimer" TargetMode="External"/><Relationship Id="rId48" Type="http://schemas.openxmlformats.org/officeDocument/2006/relationships/hyperlink" Target="https://deref-web-02.de/mail/client/r363I1T3tVg/dereferrer/?redirectUrl=http%3A%2F%2Fpubs.acs.org%2Fdoi%2Fabs%2F10.1021%2Fja803188c" TargetMode="External"/><Relationship Id="rId56" Type="http://schemas.openxmlformats.org/officeDocument/2006/relationships/hyperlink" Target="https://deref-web-02.de/mail/client/8tb_VoQhB5E/dereferrer/?redirectUrl=https%3A%2F%2Fwww.ncbi.nlm.nih.gov%2Fpmc%2Farticles%2FPMC1797410%2F" TargetMode="External"/><Relationship Id="rId64" Type="http://schemas.openxmlformats.org/officeDocument/2006/relationships/hyperlink" Target="https://deref-web-02.de/mail/client/WXp7ysYkanw/dereferrer/?redirectUrl=https%3A%2F%2Fwww.ncbi.nlm.nih.gov%2Fpmc%2Farticles%2FPMC151572%2F" TargetMode="External"/><Relationship Id="rId69" Type="http://schemas.openxmlformats.org/officeDocument/2006/relationships/hyperlink" Target="https://deref-web-02.de/mail/client/qITlD2npT-M/dereferrer/?redirectUrl=http%3A%2F%2Fwww.cell.com%2Ftrends%2Fbiochemical-sciences%2Fabstract%2FS0968-0004%2805%2900115-5" TargetMode="External"/><Relationship Id="rId77"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https://deref-web-02.de/mail/client/YuC4oqRtva0/dereferrer/?redirectUrl=https%3A%2F%2Fwww.ncbi.nlm.nih.gov%2Fpmc%2Farticles%2FPMC2288791%2F" TargetMode="External"/><Relationship Id="rId72" Type="http://schemas.openxmlformats.org/officeDocument/2006/relationships/hyperlink" Target="https://deref-web-02.de/mail/client/sjnlbP16Sck/dereferrer/?redirectUrl=https%3A%2F%2Fwww.ncbi.nlm.nih.gov%2Fpubmed%2F23923386" TargetMode="External"/><Relationship Id="rId80" Type="http://schemas.openxmlformats.org/officeDocument/2006/relationships/image" Target="media/image12.png"/><Relationship Id="rId85"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s://deref-web-02.de/mail/client/ao8ii0dXRrg/dereferrer/?redirectUrl=https%3A%2F%2Fwww.ncbi.nlm.nih.gov%2Fpmc%2Farticles%2FPMC3481041%2F" TargetMode="External"/><Relationship Id="rId25" Type="http://schemas.openxmlformats.org/officeDocument/2006/relationships/hyperlink" Target="https://deref-web-02.de/mail/client/kZ15-YoCS4Q/dereferrer/?redirectUrl=https%3A%2F%2Fwww.ncbi.nlm.nih.gov%2Fpmc%2Farticles%2FPMC105711%2F" TargetMode="External"/><Relationship Id="rId33" Type="http://schemas.openxmlformats.org/officeDocument/2006/relationships/hyperlink" Target="https://deref-web-02.de/mail/client/FqD4FFv5tMg/dereferrer/?redirectUrl=https%3A%2F%2Fwww.ncbi.nlm.nih.gov%2Fpubmed%2F26999466" TargetMode="External"/><Relationship Id="rId38" Type="http://schemas.openxmlformats.org/officeDocument/2006/relationships/hyperlink" Target="https://deref-web-02.de/mail/client/zD1VhZeGgMA/dereferrer/?redirectUrl=https%3A%2F%2Fwww.ncbi.nlm.nih.gov%2Fpmc%2Farticles%2FPMC168747%2Fpdf%2F634272.pdf" TargetMode="External"/><Relationship Id="rId46" Type="http://schemas.openxmlformats.org/officeDocument/2006/relationships/hyperlink" Target="https://deref-web-02.de/mail/client/T1TyxTivtno/dereferrer/?redirectUrl=https%3A%2F%2Fwww.researchgate.net%2Fpublication%2F221851141_Deciphering_the_role_of_pH_in_the_binding_of_Ciprofloxacin_Hydrochloride_to_Bovine_Serum_Albumin" TargetMode="External"/><Relationship Id="rId59" Type="http://schemas.openxmlformats.org/officeDocument/2006/relationships/hyperlink" Target="https://deref-web-02.de/mail/client/rMtauwVZMEg/dereferrer/?redirectUrl=https%3A%2F%2Fwww.ncbi.nlm.nih.gov%2Fpmc%2Farticles%2FPMC1472211%2F" TargetMode="External"/><Relationship Id="rId67" Type="http://schemas.openxmlformats.org/officeDocument/2006/relationships/hyperlink" Target="https://deref-web-02.de/mail/client/RM6JakQpt50/dereferrer/?redirectUrl=https%3A%2F%2Fwww.ncbi.nlm.nih.gov%2Fpubmed%2F15692048" TargetMode="External"/><Relationship Id="rId20" Type="http://schemas.openxmlformats.org/officeDocument/2006/relationships/hyperlink" Target="https://www.ncbi.nlm.nih.gov/pubmed/?term=Darlington%20LG%5BAuthor%5D&amp;cauthor=true&amp;cauthor_uid=10588931" TargetMode="External"/><Relationship Id="rId41" Type="http://schemas.openxmlformats.org/officeDocument/2006/relationships/hyperlink" Target="https://deref-web-02.de/mail/client/i4tVte6GBqs/dereferrer/?redirectUrl=https%3A%2F%2Fwww.researchgate.net%2Fpublication%2F24360365_Levofloxacin_ozonation_in_water_Rate_determining_process_parameters_and_reaction_pathway_elucidation" TargetMode="External"/><Relationship Id="rId54" Type="http://schemas.openxmlformats.org/officeDocument/2006/relationships/image" Target="media/image7.png"/><Relationship Id="rId62" Type="http://schemas.openxmlformats.org/officeDocument/2006/relationships/hyperlink" Target="https://deref-web-02.de/mail/client/oJ5JiCm3d2o/dereferrer/?redirectUrl=https%3A%2F%2Fwww.ncbi.nlm.nih.gov%2Fpubmed%2F21559652" TargetMode="External"/><Relationship Id="rId70" Type="http://schemas.openxmlformats.org/officeDocument/2006/relationships/image" Target="media/image8.png"/><Relationship Id="rId75" Type="http://schemas.openxmlformats.org/officeDocument/2006/relationships/hyperlink" Target="https://deref-web-02.de/mail/client/wZLnC2vt34Q/dereferrer/?redirectUrl=http%3A%2F%2Fwww.bloodjournal.org%2Fcontent%2F126%2F14%2F1723%3Fsso-checked%3Dtrue" TargetMode="External"/><Relationship Id="rId83" Type="http://schemas.openxmlformats.org/officeDocument/2006/relationships/image" Target="media/image15.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deref-web-02.de/mail/client/NDw9n1528VA/dereferrer/?redirectUrl=https%3A%2F%2Fwww.ncbi.nlm.nih.gov%2Fpubmed%2F11462760" TargetMode="External"/><Relationship Id="rId23" Type="http://schemas.openxmlformats.org/officeDocument/2006/relationships/hyperlink" Target="https://deref-web-02.de/mail/client/fgRGcef4etg/dereferrer/?redirectUrl=https%3A%2F%2Fwww.ncbi.nlm.nih.gov%2Fpubmed%2F16393267" TargetMode="External"/><Relationship Id="rId28" Type="http://schemas.openxmlformats.org/officeDocument/2006/relationships/hyperlink" Target="https://deref-web-02.de/mail/client/TQ_fghwO6T4/dereferrer/?redirectUrl=http%3A%2F%2Fjem.rupress.org%2Fcontent%2F189%2F9%2F1363" TargetMode="External"/><Relationship Id="rId36" Type="http://schemas.openxmlformats.org/officeDocument/2006/relationships/hyperlink" Target="https://deref-web-02.de/mail/client/kZ15-YoCS4Q/dereferrer/?redirectUrl=https%3A%2F%2Fwww.ncbi.nlm.nih.gov%2Fpmc%2Farticles%2FPMC105711%2F" TargetMode="External"/><Relationship Id="rId49" Type="http://schemas.openxmlformats.org/officeDocument/2006/relationships/hyperlink" Target="https://deref-web-02.de/mail/client/t9Fn5eSoYiU/dereferrer/?redirectUrl=https%3A%2F%2Fwww.ncbi.nlm.nih.gov%2Fpmc%2Farticles%2FPMC1782830%2F" TargetMode="External"/><Relationship Id="rId57" Type="http://schemas.openxmlformats.org/officeDocument/2006/relationships/hyperlink" Target="https://deref-web-02.de/mail/client/hz7UJ9aLBBU/dereferrer/?redirectUrl=http%3A%2F%2Faac.asm.org%2Fcontent%2F58%2F12%2F7151.full" TargetMode="External"/><Relationship Id="rId10" Type="http://schemas.openxmlformats.org/officeDocument/2006/relationships/hyperlink" Target="https://deref-web-02.de/mail/client/u_evMbUdRWk/dereferrer/?redirectUrl=https%3A%2F%2Fde.wikipedia.org%2Fwiki%2FSerotoninsyndrom" TargetMode="External"/><Relationship Id="rId31" Type="http://schemas.openxmlformats.org/officeDocument/2006/relationships/image" Target="media/image6.png"/><Relationship Id="rId44" Type="http://schemas.openxmlformats.org/officeDocument/2006/relationships/hyperlink" Target="https://deref-web-02.de/mail/client/E9WHYJiyjHU/dereferrer/?redirectUrl=https%3A%2F%2Fwww.ncbi.nlm.nih.gov%2Fpubmed%2F21234661" TargetMode="External"/><Relationship Id="rId52" Type="http://schemas.openxmlformats.org/officeDocument/2006/relationships/hyperlink" Target="https://deref-web-02.de/mail/client/VX87jBEdXOA/dereferrer/?redirectUrl=https%3A%2F%2Fwww.ncbi.nlm.nih.gov%2Fpmc%2Farticles%2FPMC4205890%2F" TargetMode="External"/><Relationship Id="rId60" Type="http://schemas.openxmlformats.org/officeDocument/2006/relationships/hyperlink" Target="https://deref-web-02.de/mail/client/m2ZppHCKN1o/dereferrer/?redirectUrl=https%3A%2F%2Fwww.ncbi.nlm.nih.gov%2Fpubmed%2F8913349" TargetMode="External"/><Relationship Id="rId65" Type="http://schemas.openxmlformats.org/officeDocument/2006/relationships/hyperlink" Target="https://deref-web-02.de/mail/client/dRZFQm9pOLg/dereferrer/?redirectUrl=http%3A%2F%2Fbrain.oxfordjournals.org%2Fcontent%2Fbrain%2F130%2F3%2F606.full.pdf" TargetMode="External"/><Relationship Id="rId73" Type="http://schemas.openxmlformats.org/officeDocument/2006/relationships/hyperlink" Target="https://deref-web-02.de/mail/client/bFzESd5gek8/dereferrer/?redirectUrl=https%3A%2F%2Fwww.ncbi.nlm.nih.gov%2Fpmc%2Farticles%2FPMC4571980%2F" TargetMode="External"/><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eref-web-02.de/mail/client/6VWi3XucDTw/dereferrer/?redirectUrl=https%3A%2F%2Fde.wikipedia.org%2Fwiki%2FSerotonin%23Funktionen"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5CFAD176.dotm</Template>
  <TotalTime>0</TotalTime>
  <Pages>18</Pages>
  <Words>4325</Words>
  <Characters>27253</Characters>
  <Application>Microsoft Office Word</Application>
  <DocSecurity>0</DocSecurity>
  <Lines>227</Lines>
  <Paragraphs>63</Paragraphs>
  <ScaleCrop>false</ScaleCrop>
  <Company/>
  <LinksUpToDate>false</LinksUpToDate>
  <CharactersWithSpaces>31515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2017-04-27T13:10:00Z</dcterms:created>
  <dcterms:modified xsi:type="dcterms:W3CDTF">2017-04-27T13:10:00Z</dcterms:modified>
</cp:coreProperties>
</file>